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0"/>
        <w:gridCol w:w="810"/>
        <w:gridCol w:w="2790"/>
      </w:tblGrid>
      <w:tr w:rsidR="00F4706A" w:rsidRPr="007A2FC2">
        <w:trPr>
          <w:trHeight w:val="260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F4706A" w:rsidRPr="007A2FC2" w:rsidRDefault="00F4706A">
            <w:pPr>
              <w:spacing w:line="840" w:lineRule="exact"/>
              <w:rPr>
                <w:spacing w:val="-5"/>
                <w:w w:val="95"/>
                <w:kern w:val="44"/>
                <w:sz w:val="44"/>
              </w:rPr>
            </w:pPr>
            <w:r w:rsidRPr="007A2FC2">
              <w:rPr>
                <w:spacing w:val="-10"/>
                <w:w w:val="95"/>
                <w:kern w:val="44"/>
                <w:sz w:val="44"/>
              </w:rPr>
              <w:t>U</w:t>
            </w:r>
            <w:r w:rsidRPr="007A2FC2">
              <w:rPr>
                <w:spacing w:val="-5"/>
                <w:w w:val="95"/>
                <w:kern w:val="44"/>
                <w:sz w:val="44"/>
              </w:rPr>
              <w:t>nited</w:t>
            </w:r>
            <w:r w:rsidRPr="007A2FC2">
              <w:rPr>
                <w:spacing w:val="-5"/>
                <w:w w:val="95"/>
                <w:kern w:val="44"/>
                <w:sz w:val="32"/>
              </w:rPr>
              <w:t xml:space="preserve"> </w:t>
            </w:r>
            <w:r w:rsidRPr="007A2FC2">
              <w:rPr>
                <w:spacing w:val="-10"/>
                <w:w w:val="95"/>
                <w:kern w:val="44"/>
                <w:sz w:val="44"/>
              </w:rPr>
              <w:t>N</w:t>
            </w:r>
            <w:r w:rsidRPr="007A2FC2">
              <w:rPr>
                <w:spacing w:val="-5"/>
                <w:w w:val="95"/>
                <w:kern w:val="44"/>
                <w:sz w:val="44"/>
              </w:rPr>
              <w:t>ations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06A" w:rsidRPr="007A2FC2" w:rsidRDefault="0052010B">
            <w:pPr>
              <w:pStyle w:val="HdFirstPage"/>
              <w:spacing w:line="760" w:lineRule="exact"/>
              <w:jc w:val="left"/>
              <w:rPr>
                <w:position w:val="-4"/>
                <w:lang w:val="en-GB"/>
              </w:rPr>
            </w:pPr>
            <w:r w:rsidRPr="007A2FC2">
              <w:rPr>
                <w:noProof/>
                <w:position w:val="-4"/>
                <w:sz w:val="20"/>
                <w:lang w:eastAsia="zh-CN"/>
              </w:rPr>
              <w:drawing>
                <wp:inline distT="0" distB="0" distL="0" distR="0">
                  <wp:extent cx="446405" cy="382905"/>
                  <wp:effectExtent l="0" t="0" r="0" b="0"/>
                  <wp:docPr id="1" name="Picture 1" descr="UN_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F4706A" w:rsidRPr="007A2FC2" w:rsidRDefault="00F4706A">
            <w:pPr>
              <w:spacing w:line="840" w:lineRule="exact"/>
              <w:ind w:left="72"/>
              <w:rPr>
                <w:spacing w:val="-5"/>
                <w:w w:val="95"/>
                <w:kern w:val="44"/>
                <w:sz w:val="44"/>
              </w:rPr>
            </w:pPr>
            <w:r w:rsidRPr="007A2FC2">
              <w:rPr>
                <w:spacing w:val="-10"/>
                <w:w w:val="95"/>
                <w:kern w:val="44"/>
                <w:sz w:val="44"/>
              </w:rPr>
              <w:t>N</w:t>
            </w:r>
            <w:r w:rsidRPr="007A2FC2">
              <w:rPr>
                <w:spacing w:val="-5"/>
                <w:w w:val="95"/>
                <w:kern w:val="44"/>
                <w:sz w:val="44"/>
              </w:rPr>
              <w:t>ations</w:t>
            </w:r>
            <w:r w:rsidRPr="007A2FC2">
              <w:rPr>
                <w:spacing w:val="-5"/>
                <w:w w:val="95"/>
                <w:kern w:val="44"/>
              </w:rPr>
              <w:t xml:space="preserve"> </w:t>
            </w:r>
            <w:proofErr w:type="spellStart"/>
            <w:r w:rsidRPr="007A2FC2">
              <w:rPr>
                <w:spacing w:val="-10"/>
                <w:w w:val="95"/>
                <w:kern w:val="44"/>
                <w:sz w:val="44"/>
              </w:rPr>
              <w:t>U</w:t>
            </w:r>
            <w:r w:rsidRPr="007A2FC2">
              <w:rPr>
                <w:spacing w:val="-5"/>
                <w:w w:val="95"/>
                <w:kern w:val="44"/>
                <w:sz w:val="44"/>
              </w:rPr>
              <w:t>nies</w:t>
            </w:r>
            <w:proofErr w:type="spellEnd"/>
          </w:p>
        </w:tc>
      </w:tr>
    </w:tbl>
    <w:p w:rsidR="00F4706A" w:rsidRPr="007A2FC2" w:rsidRDefault="00F4706A">
      <w:pPr>
        <w:pStyle w:val="HdMemorandum"/>
        <w:spacing w:before="40" w:after="140"/>
        <w:ind w:right="994"/>
        <w:jc w:val="center"/>
        <w:rPr>
          <w:noProof w:val="0"/>
        </w:rPr>
      </w:pPr>
      <w:r w:rsidRPr="007A2FC2">
        <w:rPr>
          <w:noProof w:val="0"/>
        </w:rPr>
        <w:t>headquarters • siege      new york, ny 10017</w:t>
      </w:r>
    </w:p>
    <w:p w:rsidR="00F4706A" w:rsidRPr="007A2FC2" w:rsidRDefault="00F4706A">
      <w:pPr>
        <w:ind w:right="864"/>
        <w:jc w:val="center"/>
        <w:rPr>
          <w:spacing w:val="20"/>
          <w:w w:val="113"/>
          <w:kern w:val="12"/>
          <w:sz w:val="12"/>
        </w:rPr>
      </w:pPr>
      <w:r w:rsidRPr="007A2FC2">
        <w:rPr>
          <w:spacing w:val="20"/>
          <w:w w:val="113"/>
          <w:kern w:val="12"/>
          <w:sz w:val="12"/>
        </w:rPr>
        <w:t>TEL.: 1 (212) 963.1234 • FAX: 1 (212) 963.4879</w:t>
      </w:r>
    </w:p>
    <w:p w:rsidR="00F4706A" w:rsidRPr="007A2FC2" w:rsidRDefault="00F4706A" w:rsidP="001A5C03">
      <w:pPr>
        <w:pStyle w:val="NoteVerbaleEnglish"/>
        <w:tabs>
          <w:tab w:val="clear" w:pos="576"/>
          <w:tab w:val="clear" w:pos="1152"/>
          <w:tab w:val="clear" w:pos="1728"/>
          <w:tab w:val="clear" w:pos="2304"/>
          <w:tab w:val="clear" w:pos="5040"/>
        </w:tabs>
      </w:pPr>
    </w:p>
    <w:p w:rsidR="00F4706A" w:rsidRPr="007A2FC2" w:rsidRDefault="00F4706A" w:rsidP="001A5C03">
      <w:pPr>
        <w:pStyle w:val="NoteVerbaleEnglish"/>
        <w:tabs>
          <w:tab w:val="clear" w:pos="576"/>
          <w:tab w:val="clear" w:pos="1152"/>
          <w:tab w:val="clear" w:pos="1728"/>
          <w:tab w:val="clear" w:pos="2304"/>
          <w:tab w:val="clear" w:pos="5040"/>
        </w:tabs>
      </w:pPr>
    </w:p>
    <w:tbl>
      <w:tblPr>
        <w:tblW w:w="0" w:type="auto"/>
        <w:tblInd w:w="-1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4608"/>
        <w:gridCol w:w="3664"/>
      </w:tblGrid>
      <w:tr w:rsidR="00F4706A" w:rsidRPr="007A2FC2" w:rsidTr="00427EA7">
        <w:trPr>
          <w:trHeight w:val="280"/>
          <w:tblHeader/>
        </w:trPr>
        <w:tc>
          <w:tcPr>
            <w:tcW w:w="1440" w:type="dxa"/>
            <w:vAlign w:val="center"/>
          </w:tcPr>
          <w:p w:rsidR="00F4706A" w:rsidRPr="007A2FC2" w:rsidRDefault="00F4706A" w:rsidP="00427EA7">
            <w:pPr>
              <w:pStyle w:val="HdPrompts"/>
              <w:rPr>
                <w:noProof w:val="0"/>
              </w:rPr>
            </w:pPr>
            <w:r w:rsidRPr="007A2FC2">
              <w:rPr>
                <w:noProof w:val="0"/>
              </w:rPr>
              <w:fldChar w:fldCharType="begin"/>
            </w:r>
            <w:r w:rsidRPr="007A2FC2">
              <w:rPr>
                <w:noProof w:val="0"/>
              </w:rPr>
              <w:instrText xml:space="preserve"> ADVANCE \u 4 </w:instrText>
            </w:r>
            <w:r w:rsidRPr="007A2FC2">
              <w:rPr>
                <w:noProof w:val="0"/>
              </w:rPr>
              <w:fldChar w:fldCharType="end"/>
            </w:r>
            <w:r w:rsidRPr="007A2FC2">
              <w:rPr>
                <w:noProof w:val="0"/>
              </w:rPr>
              <w:t>reference</w:t>
            </w:r>
            <w:r w:rsidRPr="007A2FC2">
              <w:rPr>
                <w:noProof w:val="0"/>
                <w:sz w:val="16"/>
              </w:rPr>
              <w:t>:</w:t>
            </w:r>
          </w:p>
        </w:tc>
        <w:tc>
          <w:tcPr>
            <w:tcW w:w="4608" w:type="dxa"/>
          </w:tcPr>
          <w:p w:rsidR="00F4706A" w:rsidRPr="00F360B9" w:rsidRDefault="00F4706A" w:rsidP="007C33A3">
            <w:pPr>
              <w:pStyle w:val="NoteVerbaleEnglish"/>
              <w:tabs>
                <w:tab w:val="clear" w:pos="576"/>
                <w:tab w:val="clear" w:pos="1152"/>
                <w:tab w:val="clear" w:pos="1728"/>
                <w:tab w:val="clear" w:pos="2304"/>
                <w:tab w:val="clear" w:pos="5040"/>
              </w:tabs>
              <w:rPr>
                <w:szCs w:val="24"/>
              </w:rPr>
            </w:pPr>
          </w:p>
        </w:tc>
        <w:tc>
          <w:tcPr>
            <w:tcW w:w="3664" w:type="dxa"/>
          </w:tcPr>
          <w:p w:rsidR="00F4706A" w:rsidRPr="00F360B9" w:rsidRDefault="00F4706A" w:rsidP="00427EA7">
            <w:pPr>
              <w:pStyle w:val="NoteVerbaleEnglish"/>
              <w:tabs>
                <w:tab w:val="clear" w:pos="576"/>
                <w:tab w:val="clear" w:pos="1152"/>
                <w:tab w:val="clear" w:pos="1728"/>
                <w:tab w:val="clear" w:pos="2304"/>
                <w:tab w:val="clear" w:pos="5040"/>
              </w:tabs>
              <w:ind w:left="389"/>
              <w:rPr>
                <w:szCs w:val="24"/>
              </w:rPr>
            </w:pPr>
          </w:p>
        </w:tc>
      </w:tr>
      <w:tr w:rsidR="00427EA7" w:rsidRPr="007A2FC2" w:rsidTr="00427EA7">
        <w:trPr>
          <w:trHeight w:val="280"/>
          <w:tblHeader/>
        </w:trPr>
        <w:tc>
          <w:tcPr>
            <w:tcW w:w="1440" w:type="dxa"/>
          </w:tcPr>
          <w:p w:rsidR="00427EA7" w:rsidRPr="007A2FC2" w:rsidRDefault="00427EA7">
            <w:pPr>
              <w:pStyle w:val="HdPrompts"/>
              <w:rPr>
                <w:noProof w:val="0"/>
              </w:rPr>
            </w:pPr>
            <w:r w:rsidRPr="007A2FC2">
              <w:rPr>
                <w:noProof w:val="0"/>
              </w:rPr>
              <w:t>SUBJECT:</w:t>
            </w:r>
          </w:p>
        </w:tc>
        <w:tc>
          <w:tcPr>
            <w:tcW w:w="8272" w:type="dxa"/>
            <w:gridSpan w:val="2"/>
          </w:tcPr>
          <w:p w:rsidR="00427EA7" w:rsidRPr="00F360B9" w:rsidRDefault="00832710" w:rsidP="00832710">
            <w:pPr>
              <w:pStyle w:val="NoteVerbaleEnglish"/>
              <w:tabs>
                <w:tab w:val="clear" w:pos="576"/>
                <w:tab w:val="clear" w:pos="1152"/>
                <w:tab w:val="clear" w:pos="1728"/>
                <w:tab w:val="clear" w:pos="2304"/>
                <w:tab w:val="clear" w:pos="5040"/>
              </w:tabs>
              <w:ind w:left="-8"/>
              <w:rPr>
                <w:szCs w:val="24"/>
              </w:rPr>
            </w:pPr>
            <w:r>
              <w:rPr>
                <w:szCs w:val="24"/>
              </w:rPr>
              <w:t xml:space="preserve">Expressions of interest to nominate experts for the group of government experts on </w:t>
            </w:r>
            <w:r w:rsidR="00A43397">
              <w:rPr>
                <w:szCs w:val="24"/>
              </w:rPr>
              <w:t xml:space="preserve">nuclear disarmament verification </w:t>
            </w:r>
          </w:p>
        </w:tc>
      </w:tr>
    </w:tbl>
    <w:p w:rsidR="00F360B9" w:rsidRDefault="00F360B9" w:rsidP="00F360B9">
      <w:pPr>
        <w:spacing w:after="240"/>
        <w:ind w:firstLine="720"/>
      </w:pPr>
    </w:p>
    <w:p w:rsidR="00A43397" w:rsidRPr="00787767" w:rsidRDefault="00A43397" w:rsidP="00A43397">
      <w:pPr>
        <w:spacing w:after="240"/>
        <w:ind w:firstLine="720"/>
      </w:pPr>
      <w:r w:rsidRPr="00787767">
        <w:t xml:space="preserve">The Office for Disarmament Affairs wishes to draw the attention of Member States to resolution </w:t>
      </w:r>
      <w:r>
        <w:t>74</w:t>
      </w:r>
      <w:r w:rsidRPr="00787767">
        <w:t>/</w:t>
      </w:r>
      <w:r>
        <w:t>50</w:t>
      </w:r>
      <w:r w:rsidRPr="00787767">
        <w:t xml:space="preserve"> entitled “Nuclear disarmament verification” by which the General Assembly:</w:t>
      </w:r>
    </w:p>
    <w:p w:rsidR="00A43397" w:rsidRDefault="00A43397" w:rsidP="00A43397">
      <w:pPr>
        <w:spacing w:after="240"/>
        <w:ind w:firstLine="720"/>
        <w:rPr>
          <w:i/>
          <w:iCs/>
        </w:rPr>
      </w:pPr>
      <w:r>
        <w:rPr>
          <w:i/>
          <w:iCs/>
        </w:rPr>
        <w:t>“</w:t>
      </w:r>
      <w:r w:rsidRPr="00787767">
        <w:rPr>
          <w:i/>
          <w:iCs/>
        </w:rPr>
        <w:t>Requests the Secretary-General to establish a group of governmental</w:t>
      </w:r>
      <w:r>
        <w:rPr>
          <w:i/>
          <w:iCs/>
        </w:rPr>
        <w:t xml:space="preserve"> </w:t>
      </w:r>
      <w:r w:rsidRPr="00787767">
        <w:rPr>
          <w:i/>
          <w:iCs/>
        </w:rPr>
        <w:t>experts of up to 25 participants, chosen on the basis of equitable geographical</w:t>
      </w:r>
      <w:r>
        <w:rPr>
          <w:i/>
          <w:iCs/>
        </w:rPr>
        <w:t xml:space="preserve"> </w:t>
      </w:r>
      <w:r w:rsidRPr="00787767">
        <w:rPr>
          <w:i/>
          <w:iCs/>
        </w:rPr>
        <w:t>representation and equitable representation of women and men, which will meet in</w:t>
      </w:r>
      <w:r>
        <w:rPr>
          <w:i/>
          <w:iCs/>
        </w:rPr>
        <w:t xml:space="preserve"> </w:t>
      </w:r>
      <w:r w:rsidRPr="00787767">
        <w:rPr>
          <w:i/>
          <w:iCs/>
        </w:rPr>
        <w:t>Geneva for four sessions of one week each in 2021 and 2022, to further consider</w:t>
      </w:r>
      <w:r>
        <w:rPr>
          <w:i/>
          <w:iCs/>
        </w:rPr>
        <w:t xml:space="preserve"> </w:t>
      </w:r>
      <w:r w:rsidRPr="00787767">
        <w:rPr>
          <w:i/>
          <w:iCs/>
        </w:rPr>
        <w:t>nuclear disarmament verification issues</w:t>
      </w:r>
      <w:r w:rsidRPr="00170BC6">
        <w:t xml:space="preserve"> </w:t>
      </w:r>
      <w:r w:rsidRPr="00170BC6">
        <w:rPr>
          <w:i/>
          <w:iCs/>
        </w:rPr>
        <w:t>including, inter alia, the concept of a Group</w:t>
      </w:r>
      <w:r>
        <w:rPr>
          <w:i/>
          <w:iCs/>
        </w:rPr>
        <w:t xml:space="preserve"> </w:t>
      </w:r>
      <w:r w:rsidRPr="00170BC6">
        <w:rPr>
          <w:i/>
          <w:iCs/>
        </w:rPr>
        <w:t xml:space="preserve">of </w:t>
      </w:r>
      <w:r>
        <w:rPr>
          <w:i/>
          <w:iCs/>
        </w:rPr>
        <w:t xml:space="preserve"> </w:t>
      </w:r>
      <w:r w:rsidRPr="00170BC6">
        <w:rPr>
          <w:i/>
          <w:iCs/>
        </w:rPr>
        <w:t>Scientific and Technical Experts, building on the report of the Group of</w:t>
      </w:r>
      <w:r>
        <w:rPr>
          <w:i/>
          <w:iCs/>
        </w:rPr>
        <w:t xml:space="preserve"> </w:t>
      </w:r>
      <w:r w:rsidRPr="00170BC6">
        <w:rPr>
          <w:i/>
          <w:iCs/>
        </w:rPr>
        <w:t>Governmental Experts on Nuclear Disarmament Verification and the views of</w:t>
      </w:r>
      <w:r>
        <w:rPr>
          <w:i/>
          <w:iCs/>
        </w:rPr>
        <w:t xml:space="preserve"> </w:t>
      </w:r>
      <w:r w:rsidRPr="00170BC6">
        <w:rPr>
          <w:i/>
          <w:iCs/>
        </w:rPr>
        <w:t xml:space="preserve">Member States </w:t>
      </w:r>
      <w:r>
        <w:rPr>
          <w:i/>
          <w:iCs/>
        </w:rPr>
        <w:t>[on it].</w:t>
      </w:r>
    </w:p>
    <w:p w:rsidR="00A43397" w:rsidRPr="00787767" w:rsidRDefault="00A43397" w:rsidP="00A43397">
      <w:pPr>
        <w:spacing w:after="240"/>
        <w:ind w:firstLine="720"/>
      </w:pPr>
      <w:r w:rsidRPr="00787767">
        <w:t xml:space="preserve">The Office for Disarmament Affairs would be pleased to receive from interested Member States by </w:t>
      </w:r>
      <w:r w:rsidR="009B24E9">
        <w:rPr>
          <w:b/>
          <w:bCs/>
        </w:rPr>
        <w:t>15</w:t>
      </w:r>
      <w:r w:rsidRPr="00FA0726">
        <w:rPr>
          <w:b/>
          <w:bCs/>
        </w:rPr>
        <w:t xml:space="preserve"> </w:t>
      </w:r>
      <w:r w:rsidR="009B24E9">
        <w:rPr>
          <w:b/>
          <w:bCs/>
        </w:rPr>
        <w:t>May</w:t>
      </w:r>
      <w:r w:rsidRPr="00787767">
        <w:t xml:space="preserve">, by note </w:t>
      </w:r>
      <w:proofErr w:type="spellStart"/>
      <w:r w:rsidRPr="00787767">
        <w:t>verbale</w:t>
      </w:r>
      <w:proofErr w:type="spellEnd"/>
      <w:r w:rsidRPr="00787767">
        <w:t xml:space="preserve"> or by other means, information regarding a possible qualified expert (including name, title and affiliation) they would propose if invited to nominate an expert to participate in the above-mentioned group of governmental experts.</w:t>
      </w:r>
    </w:p>
    <w:p w:rsidR="00A43397" w:rsidRPr="00787767" w:rsidRDefault="00A43397" w:rsidP="00A43397">
      <w:pPr>
        <w:spacing w:after="240"/>
        <w:ind w:firstLine="720"/>
      </w:pPr>
      <w:r w:rsidRPr="00787767">
        <w:t xml:space="preserve">The receipt of an expression of interest containing such information will be duly </w:t>
      </w:r>
      <w:proofErr w:type="gramStart"/>
      <w:r w:rsidRPr="00787767">
        <w:t>taken into account</w:t>
      </w:r>
      <w:proofErr w:type="gramEnd"/>
      <w:r w:rsidRPr="00787767">
        <w:t xml:space="preserve"> in considering the composition of the Group. The Group will be established </w:t>
      </w:r>
      <w:proofErr w:type="gramStart"/>
      <w:r w:rsidRPr="00787767">
        <w:t>on the basis of</w:t>
      </w:r>
      <w:proofErr w:type="gramEnd"/>
      <w:r w:rsidRPr="00787767">
        <w:t xml:space="preserve"> equitable geographic distribution and with a view to achieving the full and equal participation of women in all such bodies, in accordance with the resolutions of the General Assembly</w:t>
      </w:r>
      <w:r w:rsidRPr="00787767">
        <w:rPr>
          <w:vertAlign w:val="superscript"/>
        </w:rPr>
        <w:footnoteReference w:id="1"/>
      </w:r>
      <w:r w:rsidRPr="00787767">
        <w:t xml:space="preserve"> and the Secretary-General’s Agenda for Disarmament.</w:t>
      </w:r>
      <w:r w:rsidRPr="00787767">
        <w:rPr>
          <w:vertAlign w:val="superscript"/>
        </w:rPr>
        <w:footnoteReference w:id="2"/>
      </w:r>
    </w:p>
    <w:p w:rsidR="00A43397" w:rsidRPr="00787767" w:rsidRDefault="00A43397" w:rsidP="00A43397">
      <w:pPr>
        <w:spacing w:after="240"/>
        <w:ind w:firstLine="720"/>
      </w:pPr>
      <w:r w:rsidRPr="00787767">
        <w:t xml:space="preserve">Please note, the provision of expressions of interest and early information regarding a possible expert does not guarantee an invitation to nominate an expert to participate in the group. Upon a decision by the Secretary-General on the final composition of the Group, Member States that are invited to nominate experts will be notified by letter. </w:t>
      </w:r>
    </w:p>
    <w:p w:rsidR="006A5E8B" w:rsidRDefault="00A43397" w:rsidP="00247BC1">
      <w:pPr>
        <w:ind w:left="4320" w:firstLine="720"/>
      </w:pPr>
      <w:r>
        <w:t>31</w:t>
      </w:r>
      <w:r w:rsidR="006C45F8" w:rsidRPr="007A2FC2">
        <w:t xml:space="preserve"> </w:t>
      </w:r>
      <w:r>
        <w:t xml:space="preserve">March </w:t>
      </w:r>
      <w:r w:rsidR="006C45F8" w:rsidRPr="007A2FC2">
        <w:t>20</w:t>
      </w:r>
      <w:r>
        <w:t>20</w:t>
      </w:r>
    </w:p>
    <w:p w:rsidR="002C11AD" w:rsidRPr="007A2FC2" w:rsidRDefault="002C11AD" w:rsidP="002C11AD">
      <w:pPr>
        <w:ind w:right="480"/>
        <w:jc w:val="center"/>
        <w:rPr>
          <w:w w:val="99"/>
          <w:kern w:val="8"/>
        </w:rPr>
      </w:pPr>
      <w:r>
        <w:t xml:space="preserve">                                                          [Last </w:t>
      </w:r>
      <w:r w:rsidR="00A37103">
        <w:t>u</w:t>
      </w:r>
      <w:bookmarkStart w:id="0" w:name="_GoBack"/>
      <w:bookmarkEnd w:id="0"/>
      <w:r>
        <w:t xml:space="preserve">pdate: 29 April 2020] </w:t>
      </w:r>
    </w:p>
    <w:sectPr w:rsidR="002C11AD" w:rsidRPr="007A2FC2" w:rsidSect="009437F1">
      <w:headerReference w:type="default" r:id="rId8"/>
      <w:pgSz w:w="12240" w:h="15840" w:code="1"/>
      <w:pgMar w:top="576" w:right="1440" w:bottom="900" w:left="2448" w:header="14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44F" w:rsidRDefault="00FC644F" w:rsidP="00BE26B1">
      <w:r>
        <w:separator/>
      </w:r>
    </w:p>
  </w:endnote>
  <w:endnote w:type="continuationSeparator" w:id="0">
    <w:p w:rsidR="00FC644F" w:rsidRDefault="00FC644F" w:rsidP="00BE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44F" w:rsidRDefault="00FC644F" w:rsidP="00BE26B1">
      <w:r>
        <w:separator/>
      </w:r>
    </w:p>
  </w:footnote>
  <w:footnote w:type="continuationSeparator" w:id="0">
    <w:p w:rsidR="00FC644F" w:rsidRDefault="00FC644F" w:rsidP="00BE26B1">
      <w:r>
        <w:continuationSeparator/>
      </w:r>
    </w:p>
  </w:footnote>
  <w:footnote w:id="1">
    <w:p w:rsidR="00A43397" w:rsidRDefault="00A43397" w:rsidP="00A43397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hyperlink r:id="rId1" w:history="1">
        <w:r w:rsidRPr="005F2CFA">
          <w:rPr>
            <w:rStyle w:val="Hyperlink"/>
          </w:rPr>
          <w:t>A/RES/65/69</w:t>
        </w:r>
      </w:hyperlink>
      <w:r w:rsidRPr="00C80DEB">
        <w:t xml:space="preserve"> </w:t>
      </w:r>
      <w:r>
        <w:t>“</w:t>
      </w:r>
      <w:r w:rsidRPr="00C80DEB">
        <w:t>Women, disarmament, non</w:t>
      </w:r>
      <w:r>
        <w:t>-proliferation and arms control” and subsequent resolutions adopted under this item</w:t>
      </w:r>
    </w:p>
  </w:footnote>
  <w:footnote w:id="2">
    <w:p w:rsidR="00A43397" w:rsidRDefault="00A43397" w:rsidP="00A43397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hyperlink r:id="rId2" w:history="1">
        <w:r w:rsidRPr="006C7BBC">
          <w:rPr>
            <w:rStyle w:val="Hyperlink"/>
          </w:rPr>
          <w:t>Actions 36 and 37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B5F" w:rsidRDefault="003C2B5F">
    <w:pPr>
      <w:pStyle w:val="Header"/>
      <w:rPr>
        <w:lang w:val="en-US"/>
      </w:rPr>
    </w:pPr>
  </w:p>
  <w:p w:rsidR="003C2B5F" w:rsidRPr="003C2B5F" w:rsidRDefault="003C2B5F" w:rsidP="003C2B5F">
    <w:pPr>
      <w:pStyle w:val="Header"/>
      <w:tabs>
        <w:tab w:val="clear" w:pos="8640"/>
        <w:tab w:val="right" w:pos="6750"/>
      </w:tabs>
      <w:rPr>
        <w:b/>
        <w:sz w:val="28"/>
        <w:szCs w:val="28"/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843A2"/>
    <w:multiLevelType w:val="hybridMultilevel"/>
    <w:tmpl w:val="DD1AC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06A"/>
    <w:rsid w:val="00193574"/>
    <w:rsid w:val="001A5C03"/>
    <w:rsid w:val="001D6A45"/>
    <w:rsid w:val="001E3AA2"/>
    <w:rsid w:val="002374D4"/>
    <w:rsid w:val="00247BC1"/>
    <w:rsid w:val="002B40CB"/>
    <w:rsid w:val="002C11AD"/>
    <w:rsid w:val="0039619A"/>
    <w:rsid w:val="003B3A54"/>
    <w:rsid w:val="003C2B5F"/>
    <w:rsid w:val="00427EA7"/>
    <w:rsid w:val="004C7C81"/>
    <w:rsid w:val="0052010B"/>
    <w:rsid w:val="005245AA"/>
    <w:rsid w:val="00586A81"/>
    <w:rsid w:val="005B2300"/>
    <w:rsid w:val="0066224B"/>
    <w:rsid w:val="00662DF7"/>
    <w:rsid w:val="00675CED"/>
    <w:rsid w:val="006A5E8B"/>
    <w:rsid w:val="006C45F8"/>
    <w:rsid w:val="006F4534"/>
    <w:rsid w:val="00746CD1"/>
    <w:rsid w:val="007720FF"/>
    <w:rsid w:val="00777363"/>
    <w:rsid w:val="00780319"/>
    <w:rsid w:val="007A2FC2"/>
    <w:rsid w:val="007B42E5"/>
    <w:rsid w:val="007C33A3"/>
    <w:rsid w:val="007D4750"/>
    <w:rsid w:val="007E1AB2"/>
    <w:rsid w:val="007F2373"/>
    <w:rsid w:val="00812CDF"/>
    <w:rsid w:val="00832710"/>
    <w:rsid w:val="00842A18"/>
    <w:rsid w:val="008B3850"/>
    <w:rsid w:val="0093202C"/>
    <w:rsid w:val="009437F1"/>
    <w:rsid w:val="009B24E9"/>
    <w:rsid w:val="009C5C29"/>
    <w:rsid w:val="009E6645"/>
    <w:rsid w:val="00A2001D"/>
    <w:rsid w:val="00A34A0E"/>
    <w:rsid w:val="00A37103"/>
    <w:rsid w:val="00A43397"/>
    <w:rsid w:val="00A46286"/>
    <w:rsid w:val="00B40D7D"/>
    <w:rsid w:val="00BE26B1"/>
    <w:rsid w:val="00C16810"/>
    <w:rsid w:val="00C203C2"/>
    <w:rsid w:val="00C737B6"/>
    <w:rsid w:val="00CC1793"/>
    <w:rsid w:val="00CC1D91"/>
    <w:rsid w:val="00CC5154"/>
    <w:rsid w:val="00D125DA"/>
    <w:rsid w:val="00D31B39"/>
    <w:rsid w:val="00D77D4E"/>
    <w:rsid w:val="00D92AAF"/>
    <w:rsid w:val="00D93271"/>
    <w:rsid w:val="00D97681"/>
    <w:rsid w:val="00DD1814"/>
    <w:rsid w:val="00E30E99"/>
    <w:rsid w:val="00E615D2"/>
    <w:rsid w:val="00E9190D"/>
    <w:rsid w:val="00EA399A"/>
    <w:rsid w:val="00F27B6F"/>
    <w:rsid w:val="00F360B9"/>
    <w:rsid w:val="00F36297"/>
    <w:rsid w:val="00F4706A"/>
    <w:rsid w:val="00F854AE"/>
    <w:rsid w:val="00FC644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9B65CA"/>
  <w15:chartTrackingRefBased/>
  <w15:docId w15:val="{94AFEB09-534B-4D8F-B8D4-2860BE96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E26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E26B1"/>
    <w:rPr>
      <w:snapToGrid w:val="0"/>
      <w:sz w:val="24"/>
      <w:lang w:eastAsia="en-US"/>
    </w:rPr>
  </w:style>
  <w:style w:type="character" w:styleId="Hyperlink">
    <w:name w:val="Hyperlink"/>
    <w:rsid w:val="006C45F8"/>
    <w:rPr>
      <w:color w:val="0000FF"/>
      <w:u w:val="single"/>
    </w:rPr>
  </w:style>
  <w:style w:type="character" w:styleId="FollowedHyperlink">
    <w:name w:val="FollowedHyperlink"/>
    <w:rsid w:val="006C45F8"/>
    <w:rPr>
      <w:color w:val="0000FF"/>
      <w:u w:val="single"/>
    </w:rPr>
  </w:style>
  <w:style w:type="paragraph" w:customStyle="1" w:styleId="NoteVerbaleEnglish">
    <w:name w:val="NoteVerbale English"/>
    <w:basedOn w:val="Normal"/>
    <w:rsid w:val="00A2001D"/>
    <w:pPr>
      <w:widowControl/>
      <w:tabs>
        <w:tab w:val="left" w:pos="576"/>
        <w:tab w:val="left" w:pos="1152"/>
        <w:tab w:val="left" w:pos="1728"/>
        <w:tab w:val="left" w:pos="2304"/>
        <w:tab w:val="left" w:pos="5040"/>
      </w:tabs>
    </w:pPr>
    <w:rPr>
      <w:snapToGrid/>
    </w:rPr>
  </w:style>
  <w:style w:type="paragraph" w:customStyle="1" w:styleId="HdFirstPage">
    <w:name w:val="Hd FirstPage"/>
    <w:pPr>
      <w:widowControl w:val="0"/>
      <w:spacing w:line="840" w:lineRule="exact"/>
      <w:jc w:val="right"/>
    </w:pPr>
    <w:rPr>
      <w:spacing w:val="-5"/>
      <w:w w:val="95"/>
      <w:kern w:val="44"/>
      <w:sz w:val="44"/>
      <w:lang w:eastAsia="en-US"/>
    </w:rPr>
  </w:style>
  <w:style w:type="paragraph" w:customStyle="1" w:styleId="HdMemorandum">
    <w:name w:val="Hd Memorandum"/>
    <w:basedOn w:val="Header"/>
    <w:pPr>
      <w:tabs>
        <w:tab w:val="clear" w:pos="4320"/>
        <w:tab w:val="clear" w:pos="8640"/>
      </w:tabs>
      <w:spacing w:line="120" w:lineRule="exact"/>
      <w:jc w:val="right"/>
    </w:pPr>
    <w:rPr>
      <w:caps/>
      <w:noProof/>
      <w:snapToGrid/>
      <w:spacing w:val="20"/>
      <w:w w:val="113"/>
      <w:kern w:val="12"/>
      <w:sz w:val="1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dPrompts">
    <w:name w:val="Hd Prompts"/>
    <w:basedOn w:val="Normal"/>
    <w:pPr>
      <w:spacing w:line="260" w:lineRule="exact"/>
      <w:ind w:right="113"/>
      <w:jc w:val="right"/>
    </w:pPr>
    <w:rPr>
      <w:caps/>
      <w:smallCaps/>
      <w:noProof/>
      <w:snapToGrid/>
      <w:spacing w:val="20"/>
      <w:w w:val="113"/>
      <w:kern w:val="12"/>
      <w:sz w:val="12"/>
    </w:rPr>
  </w:style>
  <w:style w:type="paragraph" w:customStyle="1" w:styleId="HdNormal">
    <w:name w:val="Hd Normal"/>
    <w:pPr>
      <w:widowControl w:val="0"/>
      <w:spacing w:line="260" w:lineRule="exact"/>
    </w:pPr>
    <w:rPr>
      <w:rFonts w:ascii="Courier New" w:hAnsi="Courier New"/>
      <w:spacing w:val="-2"/>
      <w:w w:val="99"/>
      <w:kern w:val="22"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9437F1"/>
    <w:pPr>
      <w:widowControl/>
    </w:pPr>
    <w:rPr>
      <w:rFonts w:eastAsiaTheme="minorEastAsia" w:cstheme="minorBidi"/>
      <w:snapToGrid/>
      <w:sz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37F1"/>
    <w:rPr>
      <w:rFonts w:eastAsiaTheme="minorEastAsia" w:cstheme="minorBidi"/>
    </w:rPr>
  </w:style>
  <w:style w:type="character" w:styleId="FootnoteReference">
    <w:name w:val="footnote reference"/>
    <w:basedOn w:val="DefaultParagraphFont"/>
    <w:uiPriority w:val="99"/>
    <w:unhideWhenUsed/>
    <w:rsid w:val="009437F1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A43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43397"/>
    <w:rPr>
      <w:rFonts w:ascii="Segoe UI" w:hAnsi="Segoe UI" w:cs="Segoe UI"/>
      <w:snapToGrid w:val="0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2C11AD"/>
  </w:style>
  <w:style w:type="character" w:customStyle="1" w:styleId="DateChar">
    <w:name w:val="Date Char"/>
    <w:basedOn w:val="DefaultParagraphFont"/>
    <w:link w:val="Date"/>
    <w:rsid w:val="002C11AD"/>
    <w:rPr>
      <w:snapToGrid w:val="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.org/disarmament/sg-agenda/en/action/36" TargetMode="External"/><Relationship Id="rId1" Type="http://schemas.openxmlformats.org/officeDocument/2006/relationships/hyperlink" Target="https://undocs.org/A/RES/65/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United Nations</Company>
  <LinksUpToDate>false</LinksUpToDate>
  <CharactersWithSpaces>2256</CharactersWithSpaces>
  <SharedDoc>false</SharedDoc>
  <HLinks>
    <vt:vector size="24" baseType="variant">
      <vt:variant>
        <vt:i4>3997718</vt:i4>
      </vt:variant>
      <vt:variant>
        <vt:i4>13</vt:i4>
      </vt:variant>
      <vt:variant>
        <vt:i4>0</vt:i4>
      </vt:variant>
      <vt:variant>
        <vt:i4>5</vt:i4>
      </vt:variant>
      <vt:variant>
        <vt:lpwstr>mailto:fuchs@un.org</vt:lpwstr>
      </vt:variant>
      <vt:variant>
        <vt:lpwstr/>
      </vt:variant>
      <vt:variant>
        <vt:i4>2752563</vt:i4>
      </vt:variant>
      <vt:variant>
        <vt:i4>8</vt:i4>
      </vt:variant>
      <vt:variant>
        <vt:i4>0</vt:i4>
      </vt:variant>
      <vt:variant>
        <vt:i4>5</vt:i4>
      </vt:variant>
      <vt:variant>
        <vt:lpwstr>http://undocs.org/A/CN.10/2016/WP.1</vt:lpwstr>
      </vt:variant>
      <vt:variant>
        <vt:lpwstr/>
      </vt:variant>
      <vt:variant>
        <vt:i4>4849675</vt:i4>
      </vt:variant>
      <vt:variant>
        <vt:i4>5</vt:i4>
      </vt:variant>
      <vt:variant>
        <vt:i4>0</vt:i4>
      </vt:variant>
      <vt:variant>
        <vt:i4>5</vt:i4>
      </vt:variant>
      <vt:variant>
        <vt:lpwstr>http://undocs.org/A/RES/70/53</vt:lpwstr>
      </vt:variant>
      <vt:variant>
        <vt:lpwstr/>
      </vt:variant>
      <vt:variant>
        <vt:i4>4849675</vt:i4>
      </vt:variant>
      <vt:variant>
        <vt:i4>2</vt:i4>
      </vt:variant>
      <vt:variant>
        <vt:i4>0</vt:i4>
      </vt:variant>
      <vt:variant>
        <vt:i4>5</vt:i4>
      </vt:variant>
      <vt:variant>
        <vt:lpwstr>http://undocs.org/A/RES/70/53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Annamaria Zakhary</dc:creator>
  <cp:keywords/>
  <cp:lastModifiedBy>Yue Yao</cp:lastModifiedBy>
  <cp:revision>4</cp:revision>
  <cp:lastPrinted>2016-12-09T21:23:00Z</cp:lastPrinted>
  <dcterms:created xsi:type="dcterms:W3CDTF">2020-04-29T08:26:00Z</dcterms:created>
  <dcterms:modified xsi:type="dcterms:W3CDTF">2020-04-29T08:27:00Z</dcterms:modified>
</cp:coreProperties>
</file>