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75E3" w14:textId="62147C60" w:rsidR="00695D57" w:rsidRDefault="006B21F9" w:rsidP="00695D57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781EF7">
        <w:rPr>
          <w:rFonts w:ascii="Century Gothic" w:hAnsi="Century Gothic"/>
          <w:b/>
          <w:bCs/>
          <w:sz w:val="28"/>
          <w:szCs w:val="28"/>
          <w:lang w:val="en-US"/>
        </w:rPr>
        <w:t>HOW NORMS IN ZLAN</w:t>
      </w:r>
    </w:p>
    <w:p w14:paraId="742F0284" w14:textId="46F452D4" w:rsidR="009E7AD4" w:rsidRDefault="006B21F9" w:rsidP="00695D57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781EF7">
        <w:rPr>
          <w:rFonts w:ascii="Century Gothic" w:hAnsi="Century Gothic"/>
          <w:b/>
          <w:bCs/>
          <w:sz w:val="28"/>
          <w:szCs w:val="28"/>
          <w:lang w:val="en-US"/>
        </w:rPr>
        <w:t>CONTRIBUTE TO NON</w:t>
      </w:r>
      <w:r w:rsidR="0003159F" w:rsidRPr="00781EF7">
        <w:rPr>
          <w:rFonts w:ascii="Century Gothic" w:hAnsi="Century Gothic"/>
          <w:b/>
          <w:bCs/>
          <w:sz w:val="28"/>
          <w:szCs w:val="28"/>
          <w:lang w:val="en-US"/>
        </w:rPr>
        <w:t>-</w:t>
      </w:r>
      <w:r w:rsidRPr="00781EF7">
        <w:rPr>
          <w:rFonts w:ascii="Century Gothic" w:hAnsi="Century Gothic"/>
          <w:b/>
          <w:bCs/>
          <w:sz w:val="28"/>
          <w:szCs w:val="28"/>
          <w:lang w:val="en-US"/>
        </w:rPr>
        <w:t>PROLIFERATION AND DISARMAMENT.</w:t>
      </w:r>
    </w:p>
    <w:p w14:paraId="4A807ABD" w14:textId="2F0F44D5" w:rsidR="00781EF7" w:rsidRDefault="00695D57" w:rsidP="00380E90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Counsellor </w:t>
      </w:r>
      <w:r w:rsidR="00781EF7" w:rsidRPr="0070793A">
        <w:rPr>
          <w:rFonts w:ascii="Century Gothic" w:hAnsi="Century Gothic"/>
          <w:b/>
          <w:bCs/>
          <w:sz w:val="28"/>
          <w:szCs w:val="28"/>
        </w:rPr>
        <w:t>María Antonieta Jáquez</w:t>
      </w:r>
    </w:p>
    <w:p w14:paraId="77D06668" w14:textId="137FF436" w:rsidR="00695D57" w:rsidRPr="00695D57" w:rsidRDefault="00695D57" w:rsidP="00380E90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695D57">
        <w:rPr>
          <w:rFonts w:ascii="Century Gothic" w:hAnsi="Century Gothic"/>
          <w:b/>
          <w:bCs/>
          <w:sz w:val="28"/>
          <w:szCs w:val="28"/>
          <w:lang w:val="en-US"/>
        </w:rPr>
        <w:t>Political Coordinator at the Mission o</w:t>
      </w:r>
      <w:r>
        <w:rPr>
          <w:rFonts w:ascii="Century Gothic" w:hAnsi="Century Gothic"/>
          <w:b/>
          <w:bCs/>
          <w:sz w:val="28"/>
          <w:szCs w:val="28"/>
          <w:lang w:val="en-US"/>
        </w:rPr>
        <w:t>f Mexico to the UN.</w:t>
      </w:r>
    </w:p>
    <w:p w14:paraId="736F531A" w14:textId="7B33803E" w:rsidR="0003159F" w:rsidRDefault="00781EF7" w:rsidP="00380E90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  <w:r w:rsidRPr="00231696">
        <w:rPr>
          <w:rFonts w:ascii="Century Gothic" w:hAnsi="Century Gothic"/>
          <w:b/>
          <w:bCs/>
          <w:sz w:val="28"/>
          <w:szCs w:val="28"/>
          <w:lang w:val="en-US"/>
        </w:rPr>
        <w:t>7</w:t>
      </w:r>
      <w:r w:rsidRPr="00231696">
        <w:rPr>
          <w:rFonts w:ascii="Century Gothic" w:hAnsi="Century Gothic"/>
          <w:b/>
          <w:bCs/>
          <w:sz w:val="28"/>
          <w:szCs w:val="28"/>
          <w:vertAlign w:val="superscript"/>
          <w:lang w:val="en-US"/>
        </w:rPr>
        <w:t>th</w:t>
      </w:r>
      <w:r w:rsidRPr="00231696">
        <w:rPr>
          <w:rFonts w:ascii="Century Gothic" w:hAnsi="Century Gothic"/>
          <w:b/>
          <w:bCs/>
          <w:sz w:val="28"/>
          <w:szCs w:val="28"/>
          <w:lang w:val="en-US"/>
        </w:rPr>
        <w:t xml:space="preserve"> </w:t>
      </w:r>
      <w:proofErr w:type="gramStart"/>
      <w:r w:rsidRPr="00231696">
        <w:rPr>
          <w:rFonts w:ascii="Century Gothic" w:hAnsi="Century Gothic"/>
          <w:b/>
          <w:bCs/>
          <w:sz w:val="28"/>
          <w:szCs w:val="28"/>
          <w:lang w:val="en-US"/>
        </w:rPr>
        <w:t>July,</w:t>
      </w:r>
      <w:proofErr w:type="gramEnd"/>
      <w:r w:rsidRPr="00231696">
        <w:rPr>
          <w:rFonts w:ascii="Century Gothic" w:hAnsi="Century Gothic"/>
          <w:b/>
          <w:bCs/>
          <w:sz w:val="28"/>
          <w:szCs w:val="28"/>
          <w:lang w:val="en-US"/>
        </w:rPr>
        <w:t xml:space="preserve"> 2020.</w:t>
      </w:r>
    </w:p>
    <w:p w14:paraId="01CBCBA1" w14:textId="77777777" w:rsidR="00231696" w:rsidRPr="00231696" w:rsidRDefault="00231696" w:rsidP="00380E90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0BB1A9CC" w14:textId="77777777" w:rsidR="00231696" w:rsidRDefault="0003159F" w:rsidP="00380E90">
      <w:pPr>
        <w:spacing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I thank the High Representative </w:t>
      </w:r>
      <w:proofErr w:type="spellStart"/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Nakamitsu</w:t>
      </w:r>
      <w:proofErr w:type="spellEnd"/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 for her kind invitation and UNODA for organizing this workshop</w:t>
      </w:r>
      <w:r w:rsidR="004A323C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, and for the papers prepared by UNIDIR and other participants. </w:t>
      </w: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  </w:t>
      </w:r>
    </w:p>
    <w:p w14:paraId="08E29061" w14:textId="77777777" w:rsidR="00231696" w:rsidRDefault="00231696" w:rsidP="00380E90">
      <w:pPr>
        <w:spacing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</w:pPr>
    </w:p>
    <w:p w14:paraId="10D40250" w14:textId="1FD3514C" w:rsidR="00DF4AF4" w:rsidRPr="00781EF7" w:rsidRDefault="0003159F" w:rsidP="00380E90">
      <w:pPr>
        <w:spacing w:line="360" w:lineRule="auto"/>
        <w:jc w:val="both"/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NWFZ are, in my view, often taken for granted in the disarmament fora.  Sometimes they are confused or misrepresented as merely NSA’s treaties</w:t>
      </w:r>
      <w:r w:rsid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, when th</w:t>
      </w: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ey are one of the most important multilateral achievements in and outside the UN disarmament machinery.  Of course, people </w:t>
      </w:r>
      <w:r w:rsid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might </w:t>
      </w: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say I am biased because I am a Mexican </w:t>
      </w:r>
      <w:r w:rsidR="007579A1"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diplomat.</w:t>
      </w:r>
      <w:r w:rsidR="00DF4AF4"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  But the</w:t>
      </w:r>
      <w:r w:rsidR="00DF4AF4"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 </w:t>
      </w:r>
      <w:r w:rsidR="00DF4AF4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relevance</w:t>
      </w:r>
      <w:r w:rsidR="00DF4AF4"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 of</w:t>
      </w:r>
      <w:r w:rsidR="00DF4AF4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 NWFZ has been recognized by the General Assembly several times, including in the SSODI</w:t>
      </w:r>
      <w:r w:rsid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,</w:t>
      </w:r>
      <w:r w:rsidR="00DF4AF4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 as </w:t>
      </w:r>
      <w:r w:rsidR="00DF4AF4"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one of the most effective means for preventing the proliferation, both horizontal and vertical, of nuclear weapons</w:t>
      </w:r>
      <w:r w:rsid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, as well as </w:t>
      </w:r>
      <w:r w:rsidR="00DF4AF4"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for contributing to the elimination of the danger of a nuclear holocaust</w:t>
      </w:r>
      <w:r w:rsidR="00DF4AF4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, and ultimately to disarmament. </w:t>
      </w:r>
    </w:p>
    <w:p w14:paraId="30695FE6" w14:textId="77777777" w:rsidR="00C23FBB" w:rsidRPr="00781EF7" w:rsidRDefault="00DF4AF4" w:rsidP="00380E90">
      <w:pPr>
        <w:spacing w:before="100" w:beforeAutospacing="1" w:after="100" w:afterAutospacing="1" w:line="360" w:lineRule="auto"/>
        <w:jc w:val="both"/>
        <w:textAlignment w:val="baseline"/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I must recall here Ambassador Alfonso García Robles, who in his Nobel Prize acceptance lecture looked back on when the </w:t>
      </w:r>
      <w:r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Treaty of Tlatelolco was presented to the General Assembly</w:t>
      </w:r>
      <w:r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, i</w:t>
      </w:r>
      <w:r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n Resolution 2286 (XXII) of 5 December 1967</w:t>
      </w:r>
      <w:r w:rsidR="00C23FBB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, </w:t>
      </w:r>
      <w:r w:rsid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and </w:t>
      </w:r>
      <w:r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the General Assembly </w:t>
      </w:r>
      <w:r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lastRenderedPageBreak/>
        <w:t>declared that it constitute</w:t>
      </w:r>
      <w:r w:rsidR="00C23FBB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d</w:t>
      </w:r>
      <w:r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 </w:t>
      </w:r>
      <w:r w:rsidR="00C23FBB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“…</w:t>
      </w:r>
      <w:r w:rsidRPr="005156F1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an event of historic significance in the efforts to prevent the proliferation of nuclear weapons and to promote international peace and security”. </w:t>
      </w:r>
    </w:p>
    <w:p w14:paraId="5590D42B" w14:textId="08FA42C1" w:rsidR="00C23FBB" w:rsidRPr="00781EF7" w:rsidRDefault="00474A7A" w:rsidP="00380E90">
      <w:pPr>
        <w:spacing w:before="100" w:beforeAutospacing="1" w:after="100" w:afterAutospacing="1" w:line="360" w:lineRule="auto"/>
        <w:jc w:val="both"/>
        <w:textAlignment w:val="baseline"/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F</w:t>
      </w:r>
      <w:r w:rsidR="00C23FBB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rom the establishment of the first denuclearized zone, the GA has </w:t>
      </w:r>
      <w:r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re</w:t>
      </w:r>
      <w:r w:rsidR="00C23FBB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stated the contributions of the </w:t>
      </w:r>
      <w:r w:rsid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different </w:t>
      </w:r>
      <w:r w:rsidR="00C23FBB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NFWZ in similar terms. </w:t>
      </w:r>
    </w:p>
    <w:p w14:paraId="67971CE1" w14:textId="22ED8E8A" w:rsidR="00231696" w:rsidRDefault="00231696" w:rsidP="00231696">
      <w:pPr>
        <w:spacing w:line="360" w:lineRule="auto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I 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would like to thank my good friend, 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Dr. 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Bill 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Potter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,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 for his 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presentation and paper with a </w:t>
      </w: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comprehensive and clear description of the provisions and commonalities in NWFZ treaties, as it has made my presentation easier.</w:t>
      </w:r>
    </w:p>
    <w:p w14:paraId="302858C1" w14:textId="59232BA9" w:rsidR="0003159F" w:rsidRPr="00781EF7" w:rsidRDefault="007579A1" w:rsidP="00380E90">
      <w:pPr>
        <w:spacing w:before="100" w:beforeAutospacing="1" w:after="100" w:afterAutospacing="1"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I will give some</w:t>
      </w:r>
      <w:r w:rsid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 </w:t>
      </w: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comment</w:t>
      </w:r>
      <w:r w:rsidR="00C23FBB"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s </w:t>
      </w:r>
      <w:r w:rsid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on </w:t>
      </w:r>
      <w:r w:rsidR="00231696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some on some traits of the </w:t>
      </w:r>
      <w:r w:rsidR="0003159F"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NWFZ </w:t>
      </w:r>
      <w:r w:rsidR="00231696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to explain how their contribution in 3 areas</w:t>
      </w:r>
      <w:r w:rsidR="00C23FBB"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>:</w:t>
      </w:r>
      <w:r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 </w:t>
      </w:r>
      <w:r w:rsidR="0003159F" w:rsidRPr="00781EF7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val="en-US" w:eastAsia="es-ES_tradnl"/>
        </w:rPr>
        <w:t xml:space="preserve"> </w:t>
      </w:r>
    </w:p>
    <w:p w14:paraId="16E1A381" w14:textId="36D167F9" w:rsidR="00781EF7" w:rsidRDefault="00781EF7" w:rsidP="00380E90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1.- </w:t>
      </w:r>
      <w:r w:rsidR="007579A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The first one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,</w:t>
      </w:r>
      <w:r w:rsidR="007579A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is 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the</w:t>
      </w:r>
      <w:r w:rsidR="007579A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Pr="00695D57">
        <w:rPr>
          <w:rFonts w:ascii="Century Gothic" w:eastAsia="Times New Roman" w:hAnsi="Century Gothic" w:cs="Times New Roman"/>
          <w:b/>
          <w:bCs/>
          <w:sz w:val="28"/>
          <w:szCs w:val="28"/>
          <w:lang w:val="en-US" w:eastAsia="es-ES_tradnl"/>
        </w:rPr>
        <w:t>EXPLICIT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604477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contributio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n of the goals of the Zones</w:t>
      </w:r>
      <w:r w:rsidR="007579A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.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Although it might seem as a </w:t>
      </w:r>
      <w:r w:rsidR="004C1CDB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self-evident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truth, the zones have contributed to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both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non-proliferation and disarmament 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a</w:t>
      </w:r>
      <w:r w:rsidR="009648F0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 well as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to the peace an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d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security of the world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,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through the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provisions and obligations in the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Treaties that established them.</w:t>
      </w:r>
      <w:r w:rsidR="009E719F" w:rsidRPr="00781EF7">
        <w:rPr>
          <w:rFonts w:ascii="Century Gothic" w:eastAsia="Times New Roman" w:hAnsi="Century Gothic" w:cs="Times New Roman"/>
          <w:b/>
          <w:bCs/>
          <w:sz w:val="28"/>
          <w:szCs w:val="28"/>
          <w:lang w:val="en-US" w:eastAsia="es-ES_tradnl"/>
        </w:rPr>
        <w:t xml:space="preserve">  </w:t>
      </w:r>
    </w:p>
    <w:p w14:paraId="694A58F6" w14:textId="77777777" w:rsidR="00781EF7" w:rsidRDefault="00781EF7" w:rsidP="00380E90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val="en-US" w:eastAsia="es-ES_tradnl"/>
        </w:rPr>
      </w:pPr>
    </w:p>
    <w:p w14:paraId="6443D20C" w14:textId="6CB9DF67" w:rsidR="00781EF7" w:rsidRDefault="007579A1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Even when NWFZ were established in different regional c</w:t>
      </w:r>
      <w:r w:rsidR="0016391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ircumstances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, </w:t>
      </w:r>
      <w:r w:rsidR="0016391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and the texts are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different </w:t>
      </w:r>
      <w:r w:rsidR="0016391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in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content, all share common elements and goals: 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To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reject, prevent, prohibit or stop 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the development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, 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production, testing, use,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and 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acquisition of nuclear weapons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; to 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keep nuclear weapons out of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such 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zone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</w:t>
      </w:r>
      <w:r w:rsid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;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o prevent nuclear-weapon states from threatening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to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use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or us</w:t>
      </w:r>
      <w:r w:rsidR="00C11804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ing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6B21F9" w:rsidRPr="006B21F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lastRenderedPageBreak/>
        <w:t xml:space="preserve">nuclear weapons against the </w:t>
      </w:r>
      <w:r w:rsidR="00A3420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parties of the Treatie</w:t>
      </w:r>
      <w:r w:rsid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s, and to establish a control or verification mechanism for compliance. </w:t>
      </w:r>
      <w:r w:rsidR="00A3420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</w:p>
    <w:p w14:paraId="18DDF9CB" w14:textId="77777777" w:rsidR="00781EF7" w:rsidRDefault="00781EF7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</w:p>
    <w:p w14:paraId="16C495A6" w14:textId="6AF211DC" w:rsidR="00781EF7" w:rsidRDefault="00C11804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F</w:t>
      </w:r>
      <w:r w:rsid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actually, </w:t>
      </w:r>
      <w:r w:rsidR="00A3420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NWFZ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have</w:t>
      </w:r>
      <w:r w:rsidR="00553CE5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also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averted the appearance of new pos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es</w:t>
      </w:r>
      <w:r w:rsidR="00C23FB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ors of nuclear weapons.</w:t>
      </w:r>
    </w:p>
    <w:p w14:paraId="0EADBDED" w14:textId="77777777" w:rsidR="00781EF7" w:rsidRDefault="00781EF7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</w:p>
    <w:p w14:paraId="3A5BDE8D" w14:textId="35DC77DA" w:rsidR="006B21F9" w:rsidRPr="00781EF7" w:rsidRDefault="00781EF7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The obligations in the treaties have a link to other obligations such as the ones in the NPT regarding nuclear safeguards, and to the verification activities of the IAEA</w:t>
      </w:r>
      <w:r w:rsidR="0069357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. The prohibition of testing </w:t>
      </w:r>
      <w:r w:rsidR="00D36D46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paved the way</w:t>
      </w:r>
      <w:r w:rsidR="0069357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to the establishment of the CTBT regime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. In this regard, the NWFZ </w:t>
      </w:r>
      <w:r w:rsidR="0069357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are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effectively </w:t>
      </w:r>
      <w:r w:rsidR="0069357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supporting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the non-proliferation regime</w:t>
      </w:r>
      <w:r w:rsidR="0069357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in their territories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.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4A323C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And, in the case of the Tlatelolco treaty, and hopefully, in other zones soon, the treaty promoted the creation of a dedicated agency to serve as a focal point, secretariat and specialized regional body for nuclear disarmament and non-proliferation. </w:t>
      </w:r>
    </w:p>
    <w:p w14:paraId="71759C90" w14:textId="43A88C21" w:rsidR="008678D9" w:rsidRDefault="008678D9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2.-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The second contribution is the </w:t>
      </w:r>
      <w:r w:rsidR="00442363" w:rsidRPr="008678D9">
        <w:rPr>
          <w:rFonts w:ascii="Century Gothic" w:eastAsia="Times New Roman" w:hAnsi="Century Gothic" w:cs="Times New Roman"/>
          <w:b/>
          <w:bCs/>
          <w:sz w:val="28"/>
          <w:szCs w:val="28"/>
          <w:lang w:val="en-US" w:eastAsia="es-ES_tradnl"/>
        </w:rPr>
        <w:t xml:space="preserve">NORMATIVE VALUE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of </w:t>
      </w:r>
      <w:r w:rsidR="009E719F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NWFZ. </w:t>
      </w:r>
      <w:r w:rsidR="00827F8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871E3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Even when the NWFZ </w:t>
      </w:r>
      <w:r w:rsidR="00DD2F0D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</w:t>
      </w:r>
      <w:r w:rsidR="00871E3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reatie</w:t>
      </w:r>
      <w:r w:rsidR="00DD2F0D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</w:t>
      </w:r>
      <w:r w:rsidR="00871E3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are regional in their scope, they have established a prohibitive norm regarding nuclear weapons.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C80361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Likewise, t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h</w:t>
      </w:r>
      <w:r w:rsidR="00871E3B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e reiterated practice and </w:t>
      </w:r>
      <w:proofErr w:type="spellStart"/>
      <w:r w:rsidR="009E719F" w:rsidRPr="009E719F">
        <w:rPr>
          <w:rFonts w:ascii="Century Gothic" w:eastAsia="Times New Roman" w:hAnsi="Century Gothic" w:cs="Calibri"/>
          <w:i/>
          <w:iCs/>
          <w:color w:val="000000"/>
          <w:sz w:val="28"/>
          <w:szCs w:val="28"/>
          <w:lang w:val="en-US" w:eastAsia="es-ES_tradnl"/>
        </w:rPr>
        <w:t>opinio</w:t>
      </w:r>
      <w:proofErr w:type="spellEnd"/>
      <w:r w:rsidR="009E719F" w:rsidRPr="009E719F">
        <w:rPr>
          <w:rFonts w:ascii="Century Gothic" w:eastAsia="Times New Roman" w:hAnsi="Century Gothic" w:cs="Calibri"/>
          <w:i/>
          <w:iCs/>
          <w:color w:val="000000"/>
          <w:sz w:val="28"/>
          <w:szCs w:val="28"/>
          <w:lang w:val="en-US" w:eastAsia="es-ES_tradnl"/>
        </w:rPr>
        <w:t xml:space="preserve"> juris</w:t>
      </w:r>
      <w:r w:rsidR="009E719F" w:rsidRPr="009E719F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</w:t>
      </w:r>
      <w:r w:rsidR="00C80361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of States</w:t>
      </w:r>
      <w:r w:rsidR="00871E3B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has </w:t>
      </w:r>
      <w:r w:rsidR="00C80361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contributed to the crystallization</w:t>
      </w:r>
      <w:r w:rsidR="00C80361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</w:t>
      </w:r>
      <w:r w:rsidR="00C80361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of </w:t>
      </w:r>
      <w:r w:rsidR="00871E3B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the prohibition of nuclear weapons as a</w:t>
      </w:r>
      <w:r w:rsidR="00C80361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n international customary international rule</w:t>
      </w:r>
      <w:r w:rsidR="00871E3B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.  The</w:t>
      </w:r>
      <w:r w:rsidR="006B3EBA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source of the</w:t>
      </w:r>
      <w:r w:rsidR="00871E3B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prohibition then</w:t>
      </w:r>
      <w:r w:rsidR="006B3EBA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is twofold: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</w:t>
      </w:r>
      <w:r w:rsidR="006B3EBA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the </w:t>
      </w:r>
      <w:r w:rsidR="00871E3B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treaties establishing NWFZ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and custom.  Interesting</w:t>
      </w:r>
      <w:r w:rsidR="00371C6F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ly enough,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this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argument </w:t>
      </w:r>
      <w:r w:rsidR="00371C6F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was 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presented 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by the </w:t>
      </w:r>
      <w:r w:rsidR="009E719F" w:rsidRPr="009E719F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Marshall </w:t>
      </w:r>
      <w:r w:rsidR="00371C6F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Islands 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before the ICJ</w:t>
      </w:r>
      <w:r w:rsidR="009E719F" w:rsidRPr="009E719F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.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</w:t>
      </w:r>
    </w:p>
    <w:p w14:paraId="48043C3E" w14:textId="550DB656" w:rsidR="009E719F" w:rsidRPr="00781EF7" w:rsidRDefault="008678D9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lastRenderedPageBreak/>
        <w:t>Needless to say</w:t>
      </w:r>
      <w:r w:rsidR="00DD2F0D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,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the prohibitions</w:t>
      </w:r>
      <w:r w:rsidR="00C40F55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established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in the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NFWZ 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inspir</w:t>
      </w:r>
      <w:r w:rsidR="00DD2F0D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ed</w:t>
      </w:r>
      <w:r w:rsidR="00C40F55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the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</w:t>
      </w:r>
      <w:r w:rsidR="00DD2F0D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provisions 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of 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the TPNW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(which by the way, was opened for signature 3 years ago and we hope that will enter into force in the near future).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</w:t>
      </w:r>
    </w:p>
    <w:p w14:paraId="65880125" w14:textId="6A4254FD" w:rsidR="00827F86" w:rsidRPr="00781EF7" w:rsidRDefault="008678D9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3.- 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The 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t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hird and final aspect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, is the </w:t>
      </w:r>
      <w:r w:rsidR="00442363" w:rsidRPr="008678D9">
        <w:rPr>
          <w:rFonts w:ascii="Century Gothic" w:eastAsia="Times New Roman" w:hAnsi="Century Gothic" w:cs="Calibri"/>
          <w:b/>
          <w:bCs/>
          <w:color w:val="000000"/>
          <w:sz w:val="28"/>
          <w:szCs w:val="28"/>
          <w:lang w:val="en-US" w:eastAsia="es-ES_tradnl"/>
        </w:rPr>
        <w:t>POLITICAL AND PHILOSOPHICAL</w:t>
      </w:r>
      <w:r w:rsidR="00442363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>contributions of NWFZ</w:t>
      </w:r>
      <w:r w:rsidR="00827F86" w:rsidRPr="00781EF7"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  <w:t xml:space="preserve">.  </w:t>
      </w:r>
    </w:p>
    <w:p w14:paraId="2DA0D47D" w14:textId="792CFEF2" w:rsidR="00827F86" w:rsidRPr="00781EF7" w:rsidRDefault="00827F86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NWFZ are not an end in themselves. They were conceived as intermediate steps pending the total elimination of nuclear weapons.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In this regard, they must be seen as a vehicle to a greater goal, which is to achieve and sustain a nuclear weapon free world. </w:t>
      </w:r>
    </w:p>
    <w:p w14:paraId="0E049668" w14:textId="77777777" w:rsidR="00827F86" w:rsidRPr="00781EF7" w:rsidRDefault="00827F86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We must also recall that denuclearized zones precede the NPT and other treaties on nuclear weapons negotiated multilaterally.  And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that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they appeared in the middle of the cold war. </w:t>
      </w:r>
    </w:p>
    <w:p w14:paraId="610AC2D6" w14:textId="4E3D8851" w:rsidR="008678D9" w:rsidRDefault="008678D9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Why is all th</w:t>
      </w:r>
      <w:r w:rsidR="00673F42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is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relevant? </w:t>
      </w:r>
    </w:p>
    <w:p w14:paraId="74E16847" w14:textId="7EE916EB" w:rsidR="008678D9" w:rsidRDefault="00827F86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NWFZ are a concrete demonstration of how the free exercise of sovereign decisions by </w:t>
      </w:r>
      <w:r w:rsidR="000E361C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tates can </w:t>
      </w:r>
      <w:r w:rsidR="000E361C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transform and reshape</w:t>
      </w:r>
      <w:r w:rsidR="000E361C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international relations. </w:t>
      </w:r>
    </w:p>
    <w:p w14:paraId="066A5226" w14:textId="4D569BA5" w:rsidR="00783151" w:rsidRPr="00781EF7" w:rsidRDefault="00827F86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Many tend to attach NWFZ to a </w:t>
      </w:r>
      <w:r w:rsidR="00822C12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particular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geopolitica</w:t>
      </w:r>
      <w:r w:rsidR="007831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l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destiny.  </w:t>
      </w:r>
      <w:r w:rsidR="006B131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In the context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of the Cold War, </w:t>
      </w:r>
      <w:r w:rsidR="006B131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it was important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for certain regions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to establish denuclearized zone</w:t>
      </w:r>
      <w:r w:rsidR="006B131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. </w:t>
      </w:r>
      <w:r w:rsidR="006B131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H</w:t>
      </w:r>
      <w:r w:rsidR="00616B5E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ypothetical</w:t>
      </w:r>
      <w:r w:rsidR="006B131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ly, had they not done so, it would have been very possible for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some </w:t>
      </w:r>
      <w:r w:rsidR="00616B5E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NWS to deploy </w:t>
      </w:r>
      <w:r w:rsidR="00616B5E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lastRenderedPageBreak/>
        <w:t xml:space="preserve">nuclear weapons in their respective influence zones, and/or the zones to agree on schemes similar to </w:t>
      </w:r>
      <w:r w:rsidR="007831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 </w:t>
      </w:r>
      <w:r w:rsidR="00616B5E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nuclear umb</w:t>
      </w:r>
      <w:r w:rsidR="007831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rella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,</w:t>
      </w:r>
      <w:r w:rsidR="006B131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like the one in Europe,</w:t>
      </w:r>
      <w:r w:rsidR="007831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to support zero sum stability. </w:t>
      </w:r>
    </w:p>
    <w:p w14:paraId="37DE3414" w14:textId="12335D5B" w:rsidR="008678D9" w:rsidRDefault="00783151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Undertaking the creation of a regime of total absence of nuclear weapons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in densely populated areas </w:t>
      </w:r>
      <w:r w:rsidR="00E6471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was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like </w:t>
      </w:r>
      <w:r w:rsidR="00E6471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of </w:t>
      </w:r>
      <w:r w:rsidR="00A80EB2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crossing </w:t>
      </w:r>
      <w:r w:rsidR="00E6471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through </w:t>
      </w:r>
      <w:r w:rsidR="00A80EB2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a</w:t>
      </w:r>
      <w:r w:rsidR="00A80EB2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E6471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narrow door. It was a sovereign decision of States, and it </w:t>
      </w:r>
      <w:r w:rsidR="00A80EB2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was</w:t>
      </w:r>
      <w:r w:rsidR="00A80EB2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E6471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not easy </w:t>
      </w:r>
      <w:r w:rsidR="00A80EB2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n</w:t>
      </w:r>
      <w:r w:rsidR="00E6471D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or automatic.</w:t>
      </w:r>
      <w:r w:rsidR="005523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 </w:t>
      </w:r>
    </w:p>
    <w:p w14:paraId="6280A68D" w14:textId="2BB06FB4" w:rsidR="008678D9" w:rsidRDefault="00A80EB2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At the end of the day, t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he e</w:t>
      </w:r>
      <w:r w:rsidR="005523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stablish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ment of </w:t>
      </w:r>
      <w:r w:rsidR="005523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NWFZ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and t</w:t>
      </w:r>
      <w:r w:rsidR="005523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he fulfillment of the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ir</w:t>
      </w:r>
      <w:r w:rsidR="005523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regime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fundamentally oppose </w:t>
      </w:r>
      <w:r w:rsidR="00552351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the concept of deterrence.  </w:t>
      </w:r>
    </w:p>
    <w:p w14:paraId="7C824D67" w14:textId="2ABA257B" w:rsidR="006B21F9" w:rsidRPr="00781EF7" w:rsidRDefault="00552351" w:rsidP="00380E90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Calibri"/>
          <w:color w:val="000000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The provisions in the Treaties establishing NWFZ are a legal expression of a withdrawal from the politics of the Cold War. The</w:t>
      </w:r>
      <w:r w:rsidR="00CC45B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ir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parties have undertaken </w:t>
      </w:r>
      <w:r w:rsidR="00CC45B3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not only the obligation but the commitment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not to pose a security concern or threat to others,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E3112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and </w:t>
      </w:r>
      <w:r w:rsidR="008678D9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they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have protected their terr</w:t>
      </w:r>
      <w:r w:rsidR="000C1BCE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itories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and peoples from </w:t>
      </w:r>
      <w:r w:rsidR="00E6471D" w:rsidRPr="00E6471D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possible nuclear attacks</w:t>
      </w:r>
      <w:r w:rsidR="00E31126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, not by power, but through international law</w:t>
      </w:r>
      <w:r w:rsidR="00CC45B3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 xml:space="preserve"> and the strengthening of the rule of law</w:t>
      </w:r>
      <w:r w:rsidR="00E31126" w:rsidRPr="00781EF7">
        <w:rPr>
          <w:rFonts w:ascii="Century Gothic" w:eastAsia="Times New Roman" w:hAnsi="Century Gothic" w:cs="Times New Roman"/>
          <w:color w:val="2E2A25"/>
          <w:sz w:val="28"/>
          <w:szCs w:val="28"/>
          <w:lang w:val="en-US" w:eastAsia="es-ES_tradnl"/>
        </w:rPr>
        <w:t>.</w:t>
      </w:r>
    </w:p>
    <w:p w14:paraId="2D788957" w14:textId="505B4294" w:rsidR="00F04B9C" w:rsidRDefault="00827F86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Now that we are celebrating the 75th Anniversary of the UN Charter, we must look back at the aspirational content in the preamble of the Charter. NWFZ materialize</w:t>
      </w:r>
      <w:r w:rsidR="009B028E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d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the aspiration to free future generations of the scourge of a nuclear war.  </w:t>
      </w:r>
    </w:p>
    <w:p w14:paraId="306CD764" w14:textId="77777777" w:rsidR="00F95C31" w:rsidRPr="00781EF7" w:rsidRDefault="00F95C31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</w:p>
    <w:p w14:paraId="454754AC" w14:textId="77777777" w:rsidR="00DD2F0D" w:rsidRDefault="00E31126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lastRenderedPageBreak/>
        <w:t xml:space="preserve">Finally, we are used to referring </w:t>
      </w:r>
      <w:r w:rsidR="00DD2F0D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to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issues pertaining nuclear weapons </w:t>
      </w:r>
      <w:r w:rsidR="00DD2F0D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in the international society </w:t>
      </w: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as the law of the jungle.  </w:t>
      </w:r>
    </w:p>
    <w:p w14:paraId="5C883029" w14:textId="77777777" w:rsidR="00DD2F0D" w:rsidRDefault="00DD2F0D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</w:p>
    <w:p w14:paraId="6FAC8163" w14:textId="77777777" w:rsidR="00DD2F0D" w:rsidRDefault="00E31126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Paraphrasing </w:t>
      </w:r>
      <w:proofErr w:type="spellStart"/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Brunnée</w:t>
      </w:r>
      <w:proofErr w:type="spellEnd"/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and </w:t>
      </w:r>
      <w:proofErr w:type="spellStart"/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Toope</w:t>
      </w:r>
      <w:proofErr w:type="spellEnd"/>
      <w:r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in “Legitimacy and Legality in International Law”, NWFZ are a practical and concrete way to demonstrate that </w:t>
      </w:r>
      <w:r w:rsidRPr="00442363">
        <w:rPr>
          <w:rFonts w:ascii="Century Gothic" w:eastAsia="Times New Roman" w:hAnsi="Century Gothic" w:cs="Times New Roman"/>
          <w:b/>
          <w:bCs/>
          <w:sz w:val="28"/>
          <w:szCs w:val="28"/>
          <w:lang w:val="en-US" w:eastAsia="es-ES_tradnl"/>
        </w:rPr>
        <w:t>there is law in the jungle</w:t>
      </w:r>
      <w:r w:rsidR="00DD2F0D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.  </w:t>
      </w:r>
    </w:p>
    <w:p w14:paraId="47ECB3C4" w14:textId="77777777" w:rsidR="00DD2F0D" w:rsidRDefault="00DD2F0D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</w:p>
    <w:p w14:paraId="5EB94955" w14:textId="42E01090" w:rsidR="00E31126" w:rsidRDefault="00DD2F0D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</w:t>
      </w:r>
      <w:r w:rsidR="00E3112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he security dialogue related to nuclear weapons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must</w:t>
      </w:r>
      <w:r w:rsidR="00E3112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not only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be dictated</w:t>
      </w:r>
      <w:r w:rsidR="00E3112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by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the narrative of </w:t>
      </w:r>
      <w:r w:rsidR="00E3112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who can’t have the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weapons </w:t>
      </w:r>
      <w:r w:rsidR="00E3112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and who has them, as proposed by the NPT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; or by those who claim that nuclear weapons are necessary for their security. It has already be</w:t>
      </w:r>
      <w:r w:rsidR="00B218F6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en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 w:rsidR="007E5788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determined</w:t>
      </w:r>
      <w:r w:rsidR="00E31126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by</w:t>
      </w:r>
      <w:r w:rsidR="00781EF7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those States </w:t>
      </w:r>
      <w:r w:rsidR="007E5788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like the ones participating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in NWFZ, but not only them, who </w:t>
      </w:r>
      <w:r w:rsidR="00781EF7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deliberately </w:t>
      </w: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are </w:t>
      </w:r>
      <w:r w:rsidR="00781EF7" w:rsidRPr="00781EF7"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 xml:space="preserve">aiming to have a world based on international cooperation and international law, and not on weapons, let alone weapons of mass destruction.  </w:t>
      </w:r>
    </w:p>
    <w:p w14:paraId="053F27A3" w14:textId="77777777" w:rsidR="00DD2F0D" w:rsidRDefault="00DD2F0D" w:rsidP="00380E90">
      <w:pPr>
        <w:spacing w:line="360" w:lineRule="auto"/>
        <w:jc w:val="both"/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</w:pPr>
    </w:p>
    <w:p w14:paraId="62E03EF3" w14:textId="77777777" w:rsidR="00DD2F0D" w:rsidRPr="00781EF7" w:rsidRDefault="00DD2F0D" w:rsidP="00380E90">
      <w:pPr>
        <w:spacing w:line="360" w:lineRule="auto"/>
        <w:jc w:val="both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eastAsia="Times New Roman" w:hAnsi="Century Gothic" w:cs="Times New Roman"/>
          <w:sz w:val="28"/>
          <w:szCs w:val="28"/>
          <w:lang w:val="en-US" w:eastAsia="es-ES_tradnl"/>
        </w:rPr>
        <w:t>Thank you very much.</w:t>
      </w:r>
    </w:p>
    <w:sectPr w:rsidR="00DD2F0D" w:rsidRPr="00781EF7" w:rsidSect="00313C16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5F89" w14:textId="77777777" w:rsidR="003817C6" w:rsidRDefault="003817C6" w:rsidP="00DD2F0D">
      <w:r>
        <w:separator/>
      </w:r>
    </w:p>
  </w:endnote>
  <w:endnote w:type="continuationSeparator" w:id="0">
    <w:p w14:paraId="28FB5D7A" w14:textId="77777777" w:rsidR="003817C6" w:rsidRDefault="003817C6" w:rsidP="00DD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13493209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FDBECF5" w14:textId="77777777" w:rsidR="00DD2F0D" w:rsidRDefault="00DD2F0D" w:rsidP="00FB6BB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1E566F" w14:textId="77777777" w:rsidR="00DD2F0D" w:rsidRDefault="00DD2F0D" w:rsidP="00DD2F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882785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7B74C7A" w14:textId="77777777" w:rsidR="00DD2F0D" w:rsidRDefault="00DD2F0D" w:rsidP="00FB6BB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DFD95D8" w14:textId="77777777" w:rsidR="00DD2F0D" w:rsidRDefault="00DD2F0D" w:rsidP="00DD2F0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ADE8" w14:textId="77777777" w:rsidR="003817C6" w:rsidRDefault="003817C6" w:rsidP="00DD2F0D">
      <w:r>
        <w:separator/>
      </w:r>
    </w:p>
  </w:footnote>
  <w:footnote w:type="continuationSeparator" w:id="0">
    <w:p w14:paraId="32E4A26A" w14:textId="77777777" w:rsidR="003817C6" w:rsidRDefault="003817C6" w:rsidP="00DD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E6EC2"/>
    <w:multiLevelType w:val="multilevel"/>
    <w:tmpl w:val="A86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148B6"/>
    <w:multiLevelType w:val="hybridMultilevel"/>
    <w:tmpl w:val="9A984C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F9"/>
    <w:rsid w:val="0003159F"/>
    <w:rsid w:val="000C1BCE"/>
    <w:rsid w:val="000E361C"/>
    <w:rsid w:val="00163913"/>
    <w:rsid w:val="0021353B"/>
    <w:rsid w:val="00231696"/>
    <w:rsid w:val="00291098"/>
    <w:rsid w:val="00313C16"/>
    <w:rsid w:val="00371C6F"/>
    <w:rsid w:val="00380E90"/>
    <w:rsid w:val="003817C6"/>
    <w:rsid w:val="00406559"/>
    <w:rsid w:val="00442363"/>
    <w:rsid w:val="00474A7A"/>
    <w:rsid w:val="004A323C"/>
    <w:rsid w:val="004C1CDB"/>
    <w:rsid w:val="005156F1"/>
    <w:rsid w:val="00552351"/>
    <w:rsid w:val="00553CE5"/>
    <w:rsid w:val="00604477"/>
    <w:rsid w:val="00616B5E"/>
    <w:rsid w:val="00673F42"/>
    <w:rsid w:val="00693573"/>
    <w:rsid w:val="00695D57"/>
    <w:rsid w:val="006B1319"/>
    <w:rsid w:val="006B21F9"/>
    <w:rsid w:val="006B3EBA"/>
    <w:rsid w:val="0070793A"/>
    <w:rsid w:val="007579A1"/>
    <w:rsid w:val="00781EF7"/>
    <w:rsid w:val="00783151"/>
    <w:rsid w:val="007E5788"/>
    <w:rsid w:val="00822C12"/>
    <w:rsid w:val="00827F86"/>
    <w:rsid w:val="008678D9"/>
    <w:rsid w:val="00871E3B"/>
    <w:rsid w:val="009648F0"/>
    <w:rsid w:val="009B028E"/>
    <w:rsid w:val="009E16CD"/>
    <w:rsid w:val="009E719F"/>
    <w:rsid w:val="009E7AD4"/>
    <w:rsid w:val="00A3420D"/>
    <w:rsid w:val="00A80EB2"/>
    <w:rsid w:val="00B218F6"/>
    <w:rsid w:val="00B35144"/>
    <w:rsid w:val="00BA07B9"/>
    <w:rsid w:val="00C11804"/>
    <w:rsid w:val="00C23FBB"/>
    <w:rsid w:val="00C40F55"/>
    <w:rsid w:val="00C80361"/>
    <w:rsid w:val="00CC45B3"/>
    <w:rsid w:val="00D36D46"/>
    <w:rsid w:val="00DD2F0D"/>
    <w:rsid w:val="00DF4AF4"/>
    <w:rsid w:val="00E31126"/>
    <w:rsid w:val="00E6471D"/>
    <w:rsid w:val="00E82276"/>
    <w:rsid w:val="00ED5F06"/>
    <w:rsid w:val="00F04B9C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B81C"/>
  <w15:chartTrackingRefBased/>
  <w15:docId w15:val="{E8AC6EA6-90E2-EB47-A44E-AC4D1D82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6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5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59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03159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D2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F0D"/>
  </w:style>
  <w:style w:type="character" w:styleId="Nmerodepgina">
    <w:name w:val="page number"/>
    <w:basedOn w:val="Fuentedeprrafopredeter"/>
    <w:uiPriority w:val="99"/>
    <w:semiHidden/>
    <w:unhideWhenUsed/>
    <w:rsid w:val="00DD2F0D"/>
  </w:style>
  <w:style w:type="character" w:styleId="Refdecomentario">
    <w:name w:val="annotation reference"/>
    <w:basedOn w:val="Fuentedeprrafopredeter"/>
    <w:uiPriority w:val="99"/>
    <w:semiHidden/>
    <w:unhideWhenUsed/>
    <w:rsid w:val="00553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C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1105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 Jaquez</dc:creator>
  <cp:keywords/>
  <dc:description/>
  <cp:lastModifiedBy>Tonie Jaquez</cp:lastModifiedBy>
  <cp:revision>5</cp:revision>
  <dcterms:created xsi:type="dcterms:W3CDTF">2020-07-07T14:02:00Z</dcterms:created>
  <dcterms:modified xsi:type="dcterms:W3CDTF">2020-07-07T18:36:00Z</dcterms:modified>
</cp:coreProperties>
</file>