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F5826" w14:textId="77777777" w:rsidR="00650DF9" w:rsidRPr="00590366" w:rsidRDefault="00650DF9" w:rsidP="00650DF9">
      <w:pPr>
        <w:jc w:val="center"/>
        <w:rPr>
          <w:rFonts w:eastAsia="Calibri"/>
          <w:b/>
        </w:rPr>
      </w:pPr>
      <w:r w:rsidRPr="00590366">
        <w:rPr>
          <w:rFonts w:eastAsia="Calibri"/>
          <w:b/>
        </w:rPr>
        <w:t>REPUBLIC OF MALTA</w:t>
      </w:r>
    </w:p>
    <w:p w14:paraId="6F60FA7D" w14:textId="77777777" w:rsidR="00650DF9" w:rsidRPr="002A53C1" w:rsidRDefault="00650DF9" w:rsidP="00650DF9">
      <w:pPr>
        <w:jc w:val="center"/>
        <w:rPr>
          <w:rFonts w:eastAsia="Calibri"/>
          <w:b/>
        </w:rPr>
      </w:pPr>
    </w:p>
    <w:p w14:paraId="3D3A90BF" w14:textId="44EB79F0" w:rsidR="00650DF9" w:rsidRDefault="00650DF9" w:rsidP="00650DF9">
      <w:pPr>
        <w:jc w:val="center"/>
        <w:rPr>
          <w:rFonts w:eastAsia="Calibri"/>
          <w:b/>
        </w:rPr>
      </w:pPr>
      <w:r w:rsidRPr="00650DF9">
        <w:rPr>
          <w:rFonts w:eastAsia="Calibri"/>
          <w:b/>
        </w:rPr>
        <w:t>Group of Governmental Experts (GGE) on emerging technologies in the area of lethal autonomous weapons systems (LAWS)</w:t>
      </w:r>
    </w:p>
    <w:p w14:paraId="09199331" w14:textId="77777777" w:rsidR="00650DF9" w:rsidRPr="002A53C1" w:rsidRDefault="00650DF9" w:rsidP="00650DF9">
      <w:pPr>
        <w:jc w:val="center"/>
        <w:rPr>
          <w:rFonts w:eastAsia="Calibri"/>
          <w:b/>
        </w:rPr>
      </w:pPr>
    </w:p>
    <w:p w14:paraId="0ACFD538" w14:textId="7F91392F" w:rsidR="00650DF9" w:rsidRDefault="00650DF9" w:rsidP="00650DF9">
      <w:pPr>
        <w:pStyle w:val="Default"/>
        <w:jc w:val="center"/>
        <w:rPr>
          <w:rFonts w:eastAsia="Calibri"/>
          <w:b/>
        </w:rPr>
      </w:pPr>
      <w:r>
        <w:rPr>
          <w:rFonts w:eastAsia="Calibri"/>
          <w:b/>
          <w:color w:val="auto"/>
          <w:lang w:val="en-US"/>
        </w:rPr>
        <w:t xml:space="preserve">Interventions on </w:t>
      </w:r>
      <w:r w:rsidRPr="00650DF9">
        <w:rPr>
          <w:rFonts w:eastAsia="Calibri"/>
          <w:b/>
          <w:color w:val="auto"/>
          <w:lang w:val="en-US"/>
        </w:rPr>
        <w:t xml:space="preserve">Agenda Item </w:t>
      </w:r>
      <w:r w:rsidRPr="00650DF9">
        <w:rPr>
          <w:rFonts w:eastAsia="Calibri"/>
          <w:b/>
          <w:color w:val="auto"/>
          <w:lang w:val="en-US"/>
        </w:rPr>
        <w:t>5</w:t>
      </w:r>
      <w:r>
        <w:rPr>
          <w:rFonts w:eastAsia="Calibri"/>
          <w:b/>
          <w:color w:val="auto"/>
          <w:lang w:val="en-US"/>
        </w:rPr>
        <w:t xml:space="preserve">: </w:t>
      </w:r>
      <w:r w:rsidRPr="00650DF9">
        <w:rPr>
          <w:rFonts w:eastAsia="Calibri"/>
          <w:b/>
        </w:rPr>
        <w:t xml:space="preserve"> Focus of work of the Group of Governmental Experts in 2021</w:t>
      </w:r>
    </w:p>
    <w:p w14:paraId="014BAA40" w14:textId="77777777" w:rsidR="00650DF9" w:rsidRPr="00650DF9" w:rsidRDefault="00650DF9" w:rsidP="00650DF9">
      <w:pPr>
        <w:pStyle w:val="Default"/>
        <w:jc w:val="center"/>
        <w:rPr>
          <w:rFonts w:eastAsia="Calibri"/>
          <w:b/>
          <w:color w:val="auto"/>
          <w:lang w:val="en-US"/>
        </w:rPr>
      </w:pPr>
    </w:p>
    <w:p w14:paraId="6233730C" w14:textId="3485E00B" w:rsidR="00650DF9" w:rsidRDefault="00650DF9" w:rsidP="00650DF9">
      <w:pPr>
        <w:jc w:val="center"/>
        <w:rPr>
          <w:b/>
        </w:rPr>
      </w:pPr>
      <w:r>
        <w:rPr>
          <w:b/>
        </w:rPr>
        <w:t>3</w:t>
      </w:r>
      <w:r w:rsidRPr="00650DF9">
        <w:rPr>
          <w:b/>
          <w:vertAlign w:val="superscript"/>
        </w:rPr>
        <w:t>rd</w:t>
      </w:r>
      <w:r>
        <w:rPr>
          <w:b/>
        </w:rPr>
        <w:t xml:space="preserve"> – 6</w:t>
      </w:r>
      <w:r w:rsidRPr="00650DF9">
        <w:rPr>
          <w:b/>
          <w:vertAlign w:val="superscript"/>
        </w:rPr>
        <w:t>th</w:t>
      </w:r>
      <w:r>
        <w:rPr>
          <w:b/>
        </w:rPr>
        <w:t xml:space="preserve"> August 2021</w:t>
      </w:r>
    </w:p>
    <w:p w14:paraId="11C8F650" w14:textId="75955541" w:rsidR="00650DF9" w:rsidRPr="002A53C1" w:rsidRDefault="00650DF9" w:rsidP="00650DF9">
      <w:pPr>
        <w:rPr>
          <w:b/>
        </w:rPr>
      </w:pPr>
    </w:p>
    <w:p w14:paraId="6AD18BEB" w14:textId="77777777" w:rsidR="00650DF9" w:rsidRDefault="00650DF9" w:rsidP="00650DF9">
      <w:pPr>
        <w:pStyle w:val="paragraph"/>
        <w:spacing w:before="0" w:beforeAutospacing="0" w:after="0" w:afterAutospacing="0"/>
        <w:jc w:val="center"/>
        <w:textAlignment w:val="baseline"/>
        <w:rPr>
          <w:rStyle w:val="normaltextrun"/>
          <w:rFonts w:ascii="Calibri" w:hAnsi="Calibri" w:cs="Calibri"/>
          <w:b/>
          <w:bCs/>
        </w:rPr>
      </w:pPr>
    </w:p>
    <w:p w14:paraId="03F19A2E" w14:textId="77777777" w:rsidR="00650DF9" w:rsidRPr="00E80ED0" w:rsidRDefault="00650DF9" w:rsidP="00650DF9">
      <w:pPr>
        <w:spacing w:line="360" w:lineRule="auto"/>
        <w:jc w:val="right"/>
        <w:rPr>
          <w:i/>
          <w:sz w:val="22"/>
          <w:szCs w:val="22"/>
          <w:u w:val="single"/>
        </w:rPr>
      </w:pPr>
      <w:r w:rsidRPr="00E80ED0">
        <w:rPr>
          <w:i/>
          <w:sz w:val="22"/>
          <w:szCs w:val="22"/>
          <w:u w:val="single"/>
        </w:rPr>
        <w:t>Check against delivery</w:t>
      </w:r>
    </w:p>
    <w:p w14:paraId="7E025291" w14:textId="4B033B7E" w:rsidR="00052640" w:rsidRDefault="00052640" w:rsidP="001E3D64">
      <w:pPr>
        <w:rPr>
          <w:sz w:val="28"/>
          <w:szCs w:val="28"/>
          <w:lang w:val="fr-CH"/>
        </w:rPr>
      </w:pPr>
    </w:p>
    <w:p w14:paraId="560E3DDE" w14:textId="77777777" w:rsidR="00650DF9" w:rsidRPr="00A771DB" w:rsidRDefault="00650DF9" w:rsidP="001E3D64">
      <w:pPr>
        <w:rPr>
          <w:sz w:val="28"/>
          <w:szCs w:val="28"/>
          <w:lang w:val="fr-CH"/>
        </w:rPr>
      </w:pPr>
    </w:p>
    <w:p w14:paraId="452AECDF" w14:textId="4671FC3A" w:rsidR="00052640" w:rsidRPr="00794D86" w:rsidRDefault="00052640" w:rsidP="00052640">
      <w:pPr>
        <w:jc w:val="both"/>
        <w:rPr>
          <w:b/>
          <w:bCs/>
        </w:rPr>
      </w:pPr>
      <w:r>
        <w:rPr>
          <w:b/>
          <w:bCs/>
        </w:rPr>
        <w:t xml:space="preserve">5a) </w:t>
      </w:r>
      <w:r w:rsidRPr="00794D86">
        <w:rPr>
          <w:b/>
          <w:bCs/>
        </w:rPr>
        <w:t>An exploration of the potential challenges posed by emerging technologies in the area of LAWS to IHL</w:t>
      </w:r>
    </w:p>
    <w:p w14:paraId="1ACE104A" w14:textId="77777777" w:rsidR="00052640" w:rsidRDefault="00052640" w:rsidP="00052640">
      <w:pPr>
        <w:jc w:val="both"/>
      </w:pPr>
    </w:p>
    <w:p w14:paraId="6E53A239" w14:textId="77777777" w:rsidR="00052640" w:rsidRDefault="00052640" w:rsidP="00052640">
      <w:pPr>
        <w:jc w:val="both"/>
      </w:pPr>
      <w:r>
        <w:t>Mr Chair,</w:t>
      </w:r>
    </w:p>
    <w:p w14:paraId="19835F84" w14:textId="77777777" w:rsidR="00052640" w:rsidRDefault="00052640" w:rsidP="00052640">
      <w:pPr>
        <w:jc w:val="both"/>
      </w:pPr>
    </w:p>
    <w:p w14:paraId="5FF419B3" w14:textId="3103C873" w:rsidR="00052640" w:rsidRDefault="00052640" w:rsidP="00052640">
      <w:pPr>
        <w:jc w:val="both"/>
      </w:pPr>
      <w:r w:rsidRPr="00794D86">
        <w:t xml:space="preserve">Regarding item 5a), it is the opinion of my delegation that emerging technologies in the area of LAWS pose various challenges with regard to ensuring compliance with IHL, especially </w:t>
      </w:r>
      <w:r>
        <w:t>as</w:t>
      </w:r>
      <w:r w:rsidRPr="00794D86">
        <w:t xml:space="preserve"> </w:t>
      </w:r>
      <w:r>
        <w:t xml:space="preserve">LAWS can be </w:t>
      </w:r>
      <w:r w:rsidRPr="00794D86">
        <w:t>unpredictab</w:t>
      </w:r>
      <w:r>
        <w:t xml:space="preserve">le. </w:t>
      </w:r>
      <w:r>
        <w:t>Similarly</w:t>
      </w:r>
      <w:r>
        <w:t xml:space="preserve">, further challenges arise if </w:t>
      </w:r>
      <w:r w:rsidRPr="00794D86">
        <w:t>algorithm</w:t>
      </w:r>
      <w:r>
        <w:t>s</w:t>
      </w:r>
      <w:r w:rsidRPr="00794D86">
        <w:t xml:space="preserve"> deci</w:t>
      </w:r>
      <w:r>
        <w:t>de what otherwise is decided by humans.</w:t>
      </w:r>
    </w:p>
    <w:p w14:paraId="4870AAB7" w14:textId="77777777" w:rsidR="00052640" w:rsidRPr="00794D86" w:rsidRDefault="00052640" w:rsidP="00052640">
      <w:pPr>
        <w:jc w:val="both"/>
      </w:pPr>
    </w:p>
    <w:p w14:paraId="66E8F4BB" w14:textId="2551F72A" w:rsidR="00052640" w:rsidRDefault="00052640" w:rsidP="00052640">
      <w:pPr>
        <w:jc w:val="both"/>
      </w:pPr>
      <w:r w:rsidRPr="00794D86">
        <w:t xml:space="preserve">While my delegation is of the opinion that unpredictable autonomous weapon systems should be </w:t>
      </w:r>
      <w:r>
        <w:t>prohibited</w:t>
      </w:r>
      <w:r w:rsidRPr="00794D86">
        <w:t xml:space="preserve">, it would be important, for other autonomous weapons systems to be regulated.  My delegation is also of the opinion that in order to develop aspects of the normative and operational framework, </w:t>
      </w:r>
      <w:r>
        <w:t>it would be imperative that</w:t>
      </w:r>
      <w:r w:rsidRPr="00794D86">
        <w:t xml:space="preserve"> </w:t>
      </w:r>
      <w:r>
        <w:t>international humanitarian law</w:t>
      </w:r>
      <w:r w:rsidRPr="00794D86">
        <w:t xml:space="preserve">, </w:t>
      </w:r>
      <w:r>
        <w:t>international human rights law</w:t>
      </w:r>
      <w:r w:rsidRPr="00794D86">
        <w:t xml:space="preserve"> and </w:t>
      </w:r>
      <w:r>
        <w:t>international criminal law</w:t>
      </w:r>
      <w:r w:rsidRPr="00794D86">
        <w:t xml:space="preserve"> appl</w:t>
      </w:r>
      <w:r>
        <w:t>ies</w:t>
      </w:r>
      <w:r w:rsidRPr="00794D86">
        <w:t xml:space="preserve"> fully to any weapons system.    It would be important </w:t>
      </w:r>
      <w:r>
        <w:t xml:space="preserve">furthermore for this delegation </w:t>
      </w:r>
      <w:r w:rsidRPr="00794D86">
        <w:t>to underline</w:t>
      </w:r>
      <w:r>
        <w:t xml:space="preserve"> </w:t>
      </w:r>
      <w:r w:rsidRPr="00794D86">
        <w:t xml:space="preserve">that </w:t>
      </w:r>
      <w:r>
        <w:t xml:space="preserve">it is </w:t>
      </w:r>
      <w:r w:rsidRPr="00794D86">
        <w:t xml:space="preserve">States’ responsibility to oversee that </w:t>
      </w:r>
      <w:r>
        <w:t>international humanitarian law</w:t>
      </w:r>
      <w:r w:rsidRPr="00794D86">
        <w:t xml:space="preserve"> is observed</w:t>
      </w:r>
      <w:r>
        <w:t xml:space="preserve"> at all times.</w:t>
      </w:r>
    </w:p>
    <w:p w14:paraId="62C25B1D" w14:textId="1DF042C2" w:rsidR="00052640" w:rsidRDefault="00052640" w:rsidP="00052640">
      <w:pPr>
        <w:jc w:val="both"/>
      </w:pPr>
    </w:p>
    <w:p w14:paraId="253DC37A" w14:textId="4D80DF3C" w:rsidR="00650DF9" w:rsidRDefault="00650DF9" w:rsidP="00052640">
      <w:pPr>
        <w:jc w:val="both"/>
      </w:pPr>
    </w:p>
    <w:p w14:paraId="6400D850" w14:textId="0F7754E6" w:rsidR="00650DF9" w:rsidRDefault="00650DF9" w:rsidP="00052640">
      <w:pPr>
        <w:jc w:val="both"/>
      </w:pPr>
    </w:p>
    <w:p w14:paraId="7000BB3E" w14:textId="671C227F" w:rsidR="00650DF9" w:rsidRDefault="00650DF9" w:rsidP="00052640">
      <w:pPr>
        <w:jc w:val="both"/>
      </w:pPr>
    </w:p>
    <w:p w14:paraId="3D644E69" w14:textId="4C20D7AD" w:rsidR="00650DF9" w:rsidRDefault="00650DF9" w:rsidP="00052640">
      <w:pPr>
        <w:jc w:val="both"/>
      </w:pPr>
    </w:p>
    <w:p w14:paraId="22FEF745" w14:textId="2A60C95D" w:rsidR="00650DF9" w:rsidRDefault="00650DF9" w:rsidP="00052640">
      <w:pPr>
        <w:jc w:val="both"/>
      </w:pPr>
    </w:p>
    <w:p w14:paraId="5E19D092" w14:textId="1F635E70" w:rsidR="00650DF9" w:rsidRDefault="00650DF9" w:rsidP="00052640">
      <w:pPr>
        <w:jc w:val="both"/>
      </w:pPr>
    </w:p>
    <w:p w14:paraId="422AA9A8" w14:textId="79BB69FE" w:rsidR="00650DF9" w:rsidRDefault="00650DF9" w:rsidP="00052640">
      <w:pPr>
        <w:jc w:val="both"/>
      </w:pPr>
    </w:p>
    <w:p w14:paraId="25DE3EEB" w14:textId="5A208AC5" w:rsidR="00650DF9" w:rsidRDefault="00650DF9" w:rsidP="00052640">
      <w:pPr>
        <w:jc w:val="both"/>
      </w:pPr>
    </w:p>
    <w:p w14:paraId="2D7899C2" w14:textId="06AF7A6D" w:rsidR="00650DF9" w:rsidRDefault="00650DF9" w:rsidP="00052640">
      <w:pPr>
        <w:jc w:val="both"/>
      </w:pPr>
    </w:p>
    <w:p w14:paraId="621C1D99" w14:textId="6BA86AF1" w:rsidR="00650DF9" w:rsidRDefault="00650DF9" w:rsidP="00052640">
      <w:pPr>
        <w:jc w:val="both"/>
      </w:pPr>
    </w:p>
    <w:p w14:paraId="57D6157D" w14:textId="77777777" w:rsidR="00650DF9" w:rsidRPr="00681DBC" w:rsidRDefault="00650DF9" w:rsidP="00052640">
      <w:pPr>
        <w:jc w:val="both"/>
        <w:rPr>
          <w:b/>
          <w:bCs/>
        </w:rPr>
      </w:pPr>
    </w:p>
    <w:p w14:paraId="1EC899CD" w14:textId="77777777" w:rsidR="00650DF9" w:rsidRDefault="00650DF9" w:rsidP="00052640">
      <w:pPr>
        <w:jc w:val="both"/>
        <w:rPr>
          <w:b/>
          <w:bCs/>
        </w:rPr>
      </w:pPr>
    </w:p>
    <w:p w14:paraId="25F5E4A2" w14:textId="77777777" w:rsidR="00650DF9" w:rsidRPr="00E80ED0" w:rsidRDefault="00650DF9" w:rsidP="00650DF9">
      <w:pPr>
        <w:spacing w:line="360" w:lineRule="auto"/>
        <w:jc w:val="right"/>
        <w:rPr>
          <w:i/>
          <w:sz w:val="22"/>
          <w:szCs w:val="22"/>
          <w:u w:val="single"/>
        </w:rPr>
      </w:pPr>
      <w:r w:rsidRPr="00E80ED0">
        <w:rPr>
          <w:i/>
          <w:sz w:val="22"/>
          <w:szCs w:val="22"/>
          <w:u w:val="single"/>
        </w:rPr>
        <w:lastRenderedPageBreak/>
        <w:t>Check against delivery</w:t>
      </w:r>
    </w:p>
    <w:p w14:paraId="5A98760E" w14:textId="77777777" w:rsidR="00650DF9" w:rsidRDefault="00650DF9" w:rsidP="00052640">
      <w:pPr>
        <w:jc w:val="both"/>
        <w:rPr>
          <w:b/>
          <w:bCs/>
        </w:rPr>
      </w:pPr>
    </w:p>
    <w:p w14:paraId="6D40B282" w14:textId="10C116E8" w:rsidR="00052640" w:rsidRDefault="00052640" w:rsidP="00052640">
      <w:pPr>
        <w:jc w:val="both"/>
        <w:rPr>
          <w:b/>
          <w:bCs/>
        </w:rPr>
      </w:pPr>
      <w:r w:rsidRPr="00681DBC">
        <w:rPr>
          <w:b/>
          <w:bCs/>
        </w:rPr>
        <w:t>5b) Characterization of the systems under consideration in order to promote a common understanding on concepts and characteristics relevant to the objectives and purposes of the Convention.</w:t>
      </w:r>
      <w:r w:rsidR="00650DF9">
        <w:rPr>
          <w:b/>
          <w:bCs/>
        </w:rPr>
        <w:t xml:space="preserve">                                         </w:t>
      </w:r>
    </w:p>
    <w:p w14:paraId="3725C60F" w14:textId="77777777" w:rsidR="00650DF9" w:rsidRPr="00650DF9" w:rsidRDefault="00650DF9" w:rsidP="00052640">
      <w:pPr>
        <w:jc w:val="both"/>
        <w:rPr>
          <w:b/>
          <w:bCs/>
        </w:rPr>
      </w:pPr>
    </w:p>
    <w:p w14:paraId="660D0702" w14:textId="77777777" w:rsidR="00052640" w:rsidRDefault="00052640" w:rsidP="00052640">
      <w:pPr>
        <w:jc w:val="both"/>
      </w:pPr>
      <w:r>
        <w:t>Mr Chair,</w:t>
      </w:r>
    </w:p>
    <w:p w14:paraId="1CD2B337" w14:textId="77777777" w:rsidR="00052640" w:rsidRPr="009F5F40" w:rsidRDefault="00052640" w:rsidP="00052640">
      <w:pPr>
        <w:jc w:val="both"/>
      </w:pPr>
    </w:p>
    <w:p w14:paraId="5A321680" w14:textId="3F2C02A5" w:rsidR="00052640" w:rsidRDefault="00052640" w:rsidP="00052640">
      <w:pPr>
        <w:jc w:val="both"/>
      </w:pPr>
      <w:r>
        <w:t>T</w:t>
      </w:r>
      <w:r w:rsidRPr="009F5F40">
        <w:t>his delegation feels that the GGE should arrive at a characterization of the system</w:t>
      </w:r>
      <w:r>
        <w:t xml:space="preserve">s </w:t>
      </w:r>
      <w:r w:rsidRPr="009F5F40">
        <w:t xml:space="preserve">under consideration so that it would be </w:t>
      </w:r>
      <w:r>
        <w:t>clear for High Contracting Parties</w:t>
      </w:r>
      <w:r w:rsidRPr="009F5F40">
        <w:t xml:space="preserve"> </w:t>
      </w:r>
      <w:r>
        <w:t>of</w:t>
      </w:r>
      <w:r w:rsidRPr="009F5F40">
        <w:t xml:space="preserve"> what constitutes LAWS</w:t>
      </w:r>
      <w:r>
        <w:t xml:space="preserve"> and what weapons systems should be unacceptable. </w:t>
      </w:r>
    </w:p>
    <w:p w14:paraId="166E3B93" w14:textId="77777777" w:rsidR="00650DF9" w:rsidRDefault="00650DF9" w:rsidP="00052640">
      <w:pPr>
        <w:jc w:val="both"/>
      </w:pPr>
    </w:p>
    <w:p w14:paraId="4E961E51" w14:textId="5483C113" w:rsidR="00052640" w:rsidRDefault="00052640" w:rsidP="00052640">
      <w:pPr>
        <w:jc w:val="both"/>
      </w:pPr>
      <w:r>
        <w:t>It follows in the opinion of this delegation, that the articulation of characteristics of LAWS can serve the purpose to promote a common understanding amongst High Contracting Parties.</w:t>
      </w:r>
    </w:p>
    <w:p w14:paraId="5D92E64B" w14:textId="77777777" w:rsidR="00052640" w:rsidRDefault="00052640" w:rsidP="00052640">
      <w:pPr>
        <w:jc w:val="both"/>
      </w:pPr>
    </w:p>
    <w:p w14:paraId="7015DFE4" w14:textId="77777777" w:rsidR="00052640" w:rsidRPr="009F5F40" w:rsidRDefault="00052640" w:rsidP="00052640">
      <w:pPr>
        <w:jc w:val="both"/>
      </w:pPr>
      <w:r>
        <w:t>Furthermore, it is the opinion of this delegation that regulating LAWS would not necessarily mean to prevent these technologies from providing peaceful civilian applications.</w:t>
      </w:r>
    </w:p>
    <w:p w14:paraId="1F23C381" w14:textId="77777777" w:rsidR="00052640" w:rsidRDefault="00052640" w:rsidP="00052640">
      <w:pPr>
        <w:jc w:val="both"/>
        <w:rPr>
          <w:b/>
          <w:bCs/>
        </w:rPr>
      </w:pPr>
    </w:p>
    <w:p w14:paraId="0FBD0396" w14:textId="77777777" w:rsidR="00052640" w:rsidRDefault="00052640" w:rsidP="00052640">
      <w:pPr>
        <w:jc w:val="both"/>
        <w:rPr>
          <w:b/>
          <w:bCs/>
        </w:rPr>
      </w:pPr>
    </w:p>
    <w:p w14:paraId="613F4DA8" w14:textId="77777777" w:rsidR="00052640" w:rsidRDefault="00052640" w:rsidP="00052640">
      <w:pPr>
        <w:jc w:val="both"/>
        <w:rPr>
          <w:b/>
          <w:bCs/>
        </w:rPr>
      </w:pPr>
      <w:r>
        <w:rPr>
          <w:b/>
          <w:bCs/>
        </w:rPr>
        <w:t>5c)</w:t>
      </w:r>
      <w:r w:rsidRPr="00681DBC">
        <w:rPr>
          <w:b/>
          <w:bCs/>
        </w:rPr>
        <w:t xml:space="preserve"> Further consideration of the human element in the use of lethal force; aspects of human machine interaction in the development, deployment and use of emerging technologies in the area of lethal autonomous weapons systems.</w:t>
      </w:r>
    </w:p>
    <w:p w14:paraId="549320C3" w14:textId="77777777" w:rsidR="00052640" w:rsidRDefault="00052640" w:rsidP="00052640">
      <w:pPr>
        <w:jc w:val="both"/>
        <w:rPr>
          <w:b/>
          <w:bCs/>
        </w:rPr>
      </w:pPr>
    </w:p>
    <w:p w14:paraId="2B5CC6E9" w14:textId="77777777" w:rsidR="00052640" w:rsidRPr="00956C03" w:rsidRDefault="00052640" w:rsidP="00052640">
      <w:pPr>
        <w:jc w:val="both"/>
      </w:pPr>
      <w:r w:rsidRPr="00956C03">
        <w:t>Mr Chair,</w:t>
      </w:r>
    </w:p>
    <w:p w14:paraId="2147ABF8" w14:textId="77777777" w:rsidR="00052640" w:rsidRDefault="00052640" w:rsidP="00052640">
      <w:pPr>
        <w:jc w:val="both"/>
        <w:rPr>
          <w:b/>
          <w:bCs/>
        </w:rPr>
      </w:pPr>
    </w:p>
    <w:p w14:paraId="559CFBF8" w14:textId="6799B6C4" w:rsidR="00052640" w:rsidRDefault="00052640" w:rsidP="00052640">
      <w:pPr>
        <w:jc w:val="both"/>
      </w:pPr>
      <w:r w:rsidRPr="0024603B">
        <w:t>Regarding item 5c)</w:t>
      </w:r>
      <w:r>
        <w:t>,</w:t>
      </w:r>
      <w:r w:rsidRPr="0024603B">
        <w:t xml:space="preserve"> my delegation agrees with the guiding principle that human control must be retained over weapons system based on emerging technologies in the area of LAWS and that under no circumstances must this responsibility be transferred to m</w:t>
      </w:r>
      <w:r>
        <w:t>achines</w:t>
      </w:r>
      <w:r w:rsidRPr="0024603B">
        <w:t xml:space="preserve">. </w:t>
      </w:r>
    </w:p>
    <w:p w14:paraId="0F057025" w14:textId="77777777" w:rsidR="00052640" w:rsidRPr="0024603B" w:rsidRDefault="00052640" w:rsidP="00052640">
      <w:pPr>
        <w:jc w:val="both"/>
      </w:pPr>
    </w:p>
    <w:p w14:paraId="027B3FC0" w14:textId="5EAC0758" w:rsidR="00052640" w:rsidRDefault="00052640" w:rsidP="00052640">
      <w:pPr>
        <w:jc w:val="both"/>
      </w:pPr>
      <w:r>
        <w:t xml:space="preserve">Furthermore, my delegation also believes that </w:t>
      </w:r>
      <w:r w:rsidRPr="0024603B">
        <w:t xml:space="preserve">human control must be maintained throughout the life cycle of any weapon system. </w:t>
      </w:r>
    </w:p>
    <w:p w14:paraId="08A294E3" w14:textId="77777777" w:rsidR="00052640" w:rsidRPr="0024603B" w:rsidRDefault="00052640" w:rsidP="00052640">
      <w:pPr>
        <w:jc w:val="both"/>
      </w:pPr>
    </w:p>
    <w:p w14:paraId="4D495661" w14:textId="35AE29D2" w:rsidR="00052640" w:rsidRPr="0024603B" w:rsidRDefault="00052640" w:rsidP="00052640">
      <w:pPr>
        <w:jc w:val="both"/>
      </w:pPr>
      <w:r>
        <w:t xml:space="preserve">Lastly, is the opinion of this delegation </w:t>
      </w:r>
      <w:r w:rsidRPr="0024603B">
        <w:t>that weapons systems must not be designed or deployed without a human chain of command and/or human-machine interaction</w:t>
      </w:r>
      <w:r>
        <w:t xml:space="preserve"> and that the developer and the operator understands and fully takes accountability of the functioning of the weapon system.</w:t>
      </w:r>
    </w:p>
    <w:p w14:paraId="50BF9E90" w14:textId="7B685978" w:rsidR="00052640" w:rsidRDefault="00052640" w:rsidP="00052640">
      <w:pPr>
        <w:jc w:val="both"/>
        <w:rPr>
          <w:b/>
          <w:bCs/>
        </w:rPr>
      </w:pPr>
    </w:p>
    <w:p w14:paraId="6D3D390B" w14:textId="60C23CED" w:rsidR="00650DF9" w:rsidRDefault="00650DF9" w:rsidP="00052640">
      <w:pPr>
        <w:jc w:val="both"/>
        <w:rPr>
          <w:b/>
          <w:bCs/>
        </w:rPr>
      </w:pPr>
    </w:p>
    <w:p w14:paraId="16A83986" w14:textId="4EB392F6" w:rsidR="00650DF9" w:rsidRDefault="00650DF9" w:rsidP="00052640">
      <w:pPr>
        <w:jc w:val="both"/>
        <w:rPr>
          <w:b/>
          <w:bCs/>
        </w:rPr>
      </w:pPr>
    </w:p>
    <w:p w14:paraId="5A19B391" w14:textId="270AB777" w:rsidR="00650DF9" w:rsidRDefault="00650DF9" w:rsidP="00052640">
      <w:pPr>
        <w:jc w:val="both"/>
        <w:rPr>
          <w:b/>
          <w:bCs/>
        </w:rPr>
      </w:pPr>
    </w:p>
    <w:p w14:paraId="612D1862" w14:textId="1A0D64BC" w:rsidR="00650DF9" w:rsidRDefault="00650DF9" w:rsidP="00052640">
      <w:pPr>
        <w:jc w:val="both"/>
        <w:rPr>
          <w:b/>
          <w:bCs/>
        </w:rPr>
      </w:pPr>
    </w:p>
    <w:p w14:paraId="0EDE40D0" w14:textId="7F692E18" w:rsidR="00650DF9" w:rsidRDefault="00650DF9" w:rsidP="00052640">
      <w:pPr>
        <w:jc w:val="both"/>
        <w:rPr>
          <w:b/>
          <w:bCs/>
        </w:rPr>
      </w:pPr>
    </w:p>
    <w:p w14:paraId="20707D4F" w14:textId="77777777" w:rsidR="00650DF9" w:rsidRDefault="00650DF9" w:rsidP="00650DF9">
      <w:pPr>
        <w:spacing w:line="360" w:lineRule="auto"/>
        <w:jc w:val="right"/>
        <w:rPr>
          <w:i/>
          <w:sz w:val="22"/>
          <w:szCs w:val="22"/>
          <w:u w:val="single"/>
        </w:rPr>
      </w:pPr>
    </w:p>
    <w:p w14:paraId="6B3E5933" w14:textId="51F0DD8E" w:rsidR="00650DF9" w:rsidRPr="00E80ED0" w:rsidRDefault="00650DF9" w:rsidP="00650DF9">
      <w:pPr>
        <w:spacing w:line="360" w:lineRule="auto"/>
        <w:jc w:val="right"/>
        <w:rPr>
          <w:i/>
          <w:sz w:val="22"/>
          <w:szCs w:val="22"/>
          <w:u w:val="single"/>
        </w:rPr>
      </w:pPr>
      <w:r w:rsidRPr="00E80ED0">
        <w:rPr>
          <w:i/>
          <w:sz w:val="22"/>
          <w:szCs w:val="22"/>
          <w:u w:val="single"/>
        </w:rPr>
        <w:lastRenderedPageBreak/>
        <w:t>Check against delivery</w:t>
      </w:r>
    </w:p>
    <w:p w14:paraId="17A67F6D" w14:textId="77777777" w:rsidR="00650DF9" w:rsidRDefault="00650DF9" w:rsidP="00052640">
      <w:pPr>
        <w:jc w:val="both"/>
        <w:rPr>
          <w:b/>
          <w:bCs/>
        </w:rPr>
      </w:pPr>
    </w:p>
    <w:p w14:paraId="6232CCCF" w14:textId="77777777" w:rsidR="00052640" w:rsidRDefault="00052640" w:rsidP="00052640">
      <w:pPr>
        <w:jc w:val="both"/>
        <w:rPr>
          <w:b/>
          <w:bCs/>
        </w:rPr>
      </w:pPr>
      <w:r>
        <w:rPr>
          <w:b/>
          <w:bCs/>
        </w:rPr>
        <w:t>5d) Review of potential military applications of related technologies in the context of the Group’s work</w:t>
      </w:r>
    </w:p>
    <w:p w14:paraId="51E7FA83" w14:textId="77777777" w:rsidR="00052640" w:rsidRDefault="00052640" w:rsidP="00052640">
      <w:pPr>
        <w:jc w:val="both"/>
        <w:rPr>
          <w:b/>
          <w:bCs/>
        </w:rPr>
      </w:pPr>
      <w:r>
        <w:rPr>
          <w:b/>
          <w:bCs/>
        </w:rPr>
        <w:t xml:space="preserve"> </w:t>
      </w:r>
    </w:p>
    <w:p w14:paraId="4B826136" w14:textId="77777777" w:rsidR="00052640" w:rsidRDefault="00052640" w:rsidP="00052640">
      <w:pPr>
        <w:jc w:val="both"/>
      </w:pPr>
      <w:r>
        <w:t xml:space="preserve">Mr Chair, </w:t>
      </w:r>
    </w:p>
    <w:p w14:paraId="63D8247D" w14:textId="77777777" w:rsidR="00052640" w:rsidRDefault="00052640" w:rsidP="00052640">
      <w:pPr>
        <w:jc w:val="both"/>
      </w:pPr>
    </w:p>
    <w:p w14:paraId="75FCC160" w14:textId="77777777" w:rsidR="00052640" w:rsidRPr="00C75A0B" w:rsidRDefault="00052640" w:rsidP="00052640">
      <w:pPr>
        <w:jc w:val="both"/>
      </w:pPr>
      <w:r>
        <w:t>My</w:t>
      </w:r>
      <w:r w:rsidRPr="00C75A0B">
        <w:t xml:space="preserve"> delegation believes that conducting reviews as specified in article 36 of Additional Protocol I to the Geneva Conventions provides an important role in weapons development and likewise that through such reviews, it </w:t>
      </w:r>
      <w:r>
        <w:t>is more likely</w:t>
      </w:r>
      <w:r w:rsidRPr="00C75A0B">
        <w:t xml:space="preserve"> to establish whether new technologies in the area of LAWS should be prohibited or not. </w:t>
      </w:r>
    </w:p>
    <w:p w14:paraId="6D9216FC" w14:textId="77777777" w:rsidR="00052640" w:rsidRDefault="00052640" w:rsidP="00052640">
      <w:pPr>
        <w:jc w:val="both"/>
        <w:rPr>
          <w:b/>
          <w:bCs/>
        </w:rPr>
      </w:pPr>
    </w:p>
    <w:p w14:paraId="3CBA21E5" w14:textId="77777777" w:rsidR="00052640" w:rsidRDefault="00052640" w:rsidP="00052640">
      <w:pPr>
        <w:jc w:val="both"/>
        <w:rPr>
          <w:b/>
          <w:bCs/>
        </w:rPr>
      </w:pPr>
    </w:p>
    <w:p w14:paraId="4BB334C5" w14:textId="77777777" w:rsidR="00052640" w:rsidRPr="004844D8" w:rsidRDefault="00052640" w:rsidP="00052640">
      <w:pPr>
        <w:jc w:val="both"/>
        <w:rPr>
          <w:b/>
          <w:bCs/>
        </w:rPr>
      </w:pPr>
      <w:r>
        <w:rPr>
          <w:b/>
          <w:bCs/>
        </w:rPr>
        <w:t>5e) Possible options for addressing the humanitarian and international security challenges posed by emerging technologies in the area of lethal autonomous weapons systems in the context of the objectives and purposes of the Convention without prejudging policy outcomes and taking into account past, present and future proposals.</w:t>
      </w:r>
    </w:p>
    <w:p w14:paraId="34FC4D99" w14:textId="77777777" w:rsidR="00052640" w:rsidRDefault="00052640" w:rsidP="00052640">
      <w:pPr>
        <w:jc w:val="both"/>
      </w:pPr>
    </w:p>
    <w:p w14:paraId="4E39ACDD" w14:textId="77777777" w:rsidR="00052640" w:rsidRDefault="00052640" w:rsidP="00052640">
      <w:pPr>
        <w:jc w:val="both"/>
      </w:pPr>
      <w:r>
        <w:t xml:space="preserve">   </w:t>
      </w:r>
    </w:p>
    <w:p w14:paraId="15A982AA" w14:textId="77777777" w:rsidR="00052640" w:rsidRDefault="00052640" w:rsidP="00052640">
      <w:pPr>
        <w:jc w:val="both"/>
      </w:pPr>
      <w:r>
        <w:t>Mr Chair,</w:t>
      </w:r>
    </w:p>
    <w:p w14:paraId="23066836" w14:textId="77777777" w:rsidR="00052640" w:rsidRPr="004844D8" w:rsidRDefault="00052640" w:rsidP="00052640">
      <w:pPr>
        <w:jc w:val="both"/>
      </w:pPr>
    </w:p>
    <w:p w14:paraId="47D898CA" w14:textId="63852BD8" w:rsidR="00052640" w:rsidRDefault="00052640" w:rsidP="00052640">
      <w:pPr>
        <w:jc w:val="both"/>
      </w:pPr>
      <w:r>
        <w:t>Malta remains concerned with the rapid technological advancement especially in Ai, where as a result, lethal autonomous weapons systems are today capable of functioning with a lesser degree of human control or none. Malta is concerned about such developments especially for world security, for unlike traditional arms, LAWS can independently search for and engage targets based on programmed constraints and descriptions. Malta is all the more concerned, about possible diversion of this technology to irresponsible actors.</w:t>
      </w:r>
    </w:p>
    <w:p w14:paraId="06EFEC11" w14:textId="77777777" w:rsidR="00052640" w:rsidRDefault="00052640" w:rsidP="00052640">
      <w:pPr>
        <w:jc w:val="both"/>
      </w:pPr>
    </w:p>
    <w:p w14:paraId="5B6A478F" w14:textId="6F2CE867" w:rsidR="00052640" w:rsidRDefault="00052640" w:rsidP="00052640">
      <w:pPr>
        <w:jc w:val="both"/>
      </w:pPr>
      <w:r>
        <w:t xml:space="preserve">At this stage of the GGE discussions, my delegation commends the decision taken by the BE Chair to prepare a </w:t>
      </w:r>
      <w:r w:rsidRPr="004844D8">
        <w:t>report</w:t>
      </w:r>
      <w:r>
        <w:t xml:space="preserve">, which will be </w:t>
      </w:r>
      <w:r w:rsidRPr="004844D8">
        <w:t>prepared at this GGE working session</w:t>
      </w:r>
      <w:r>
        <w:t>,</w:t>
      </w:r>
      <w:r w:rsidRPr="004844D8">
        <w:t xml:space="preserve"> for consideration at the Sixth Review Conference of the CCW</w:t>
      </w:r>
      <w:r>
        <w:t xml:space="preserve">.  It is the opinion of my delegation that the report should </w:t>
      </w:r>
      <w:r w:rsidRPr="004844D8">
        <w:t>contain consensus recommendations in relation to the clarification, consideration and development of aspects of the normative and operational framework on emerging technologies in the area of LAWS</w:t>
      </w:r>
      <w:r>
        <w:t xml:space="preserve"> based</w:t>
      </w:r>
      <w:r w:rsidRPr="004844D8">
        <w:t xml:space="preserve"> </w:t>
      </w:r>
      <w:r>
        <w:t>on the eleven guiding principles and beyond, to include</w:t>
      </w:r>
      <w:r w:rsidRPr="004844D8">
        <w:t xml:space="preserve"> </w:t>
      </w:r>
      <w:r>
        <w:t xml:space="preserve">legal, technical and military aspects.  This should pave the way, it is hoped for the </w:t>
      </w:r>
      <w:r w:rsidRPr="004844D8">
        <w:t>High Contracting Parties</w:t>
      </w:r>
      <w:r>
        <w:t xml:space="preserve">, </w:t>
      </w:r>
      <w:r w:rsidRPr="004844D8">
        <w:t xml:space="preserve">to </w:t>
      </w:r>
      <w:r>
        <w:t>decide which option to take forward, (whether a CCW instrument on LAWS, a political declaration or a code of conduct) in addressing the humanitarian and security challenges posed by emerging technologies in the area of LAWS.</w:t>
      </w:r>
    </w:p>
    <w:p w14:paraId="17483269" w14:textId="77777777" w:rsidR="00052640" w:rsidRPr="004844D8" w:rsidRDefault="00052640" w:rsidP="00052640">
      <w:pPr>
        <w:jc w:val="both"/>
      </w:pPr>
    </w:p>
    <w:p w14:paraId="47C2AA7B" w14:textId="77777777" w:rsidR="00052640" w:rsidRDefault="00052640" w:rsidP="00052640">
      <w:pPr>
        <w:jc w:val="both"/>
        <w:rPr>
          <w:b/>
          <w:bCs/>
        </w:rPr>
      </w:pPr>
    </w:p>
    <w:p w14:paraId="1212FD57" w14:textId="77777777" w:rsidR="00052640" w:rsidRDefault="00052640" w:rsidP="00052640">
      <w:pPr>
        <w:jc w:val="both"/>
        <w:rPr>
          <w:b/>
          <w:bCs/>
        </w:rPr>
      </w:pPr>
    </w:p>
    <w:p w14:paraId="0C5D2C6B" w14:textId="1F0AAD93" w:rsidR="00940630" w:rsidRPr="001E3D64" w:rsidRDefault="00940630" w:rsidP="00052640">
      <w:pPr>
        <w:jc w:val="both"/>
        <w:rPr>
          <w:sz w:val="28"/>
          <w:szCs w:val="28"/>
        </w:rPr>
      </w:pPr>
    </w:p>
    <w:sectPr w:rsidR="00940630" w:rsidRPr="001E3D64" w:rsidSect="00472BC9">
      <w:headerReference w:type="even" r:id="rId6"/>
      <w:headerReference w:type="default" r:id="rId7"/>
      <w:footerReference w:type="even" r:id="rId8"/>
      <w:footerReference w:type="default" r:id="rId9"/>
      <w:headerReference w:type="first" r:id="rId10"/>
      <w:footerReference w:type="first" r:id="rId11"/>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2803A" w14:textId="77777777" w:rsidR="00921770" w:rsidRDefault="00921770">
      <w:r>
        <w:separator/>
      </w:r>
    </w:p>
  </w:endnote>
  <w:endnote w:type="continuationSeparator" w:id="0">
    <w:p w14:paraId="44387E94" w14:textId="77777777" w:rsidR="00921770" w:rsidRDefault="0092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05D9" w14:textId="77777777" w:rsidR="00712AB9" w:rsidRDefault="00712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DB88" w14:textId="77777777" w:rsidR="00A771DB" w:rsidRPr="00481558" w:rsidRDefault="001E3D64" w:rsidP="00481558">
    <w:pPr>
      <w:pStyle w:val="Header"/>
      <w:jc w:val="center"/>
      <w:rPr>
        <w:sz w:val="18"/>
        <w:szCs w:val="18"/>
      </w:rPr>
    </w:pPr>
    <w:r w:rsidRPr="00481558">
      <w:rPr>
        <w:sz w:val="18"/>
        <w:szCs w:val="18"/>
      </w:rPr>
      <w:t xml:space="preserve">Permanent Mission of </w:t>
    </w:r>
    <w:r>
      <w:rPr>
        <w:sz w:val="18"/>
        <w:szCs w:val="18"/>
      </w:rPr>
      <w:t xml:space="preserve">the Republic of </w:t>
    </w:r>
    <w:r w:rsidRPr="00481558">
      <w:rPr>
        <w:sz w:val="18"/>
        <w:szCs w:val="18"/>
      </w:rPr>
      <w:t>Malta – 26</w:t>
    </w:r>
    <w:r>
      <w:rPr>
        <w:sz w:val="18"/>
        <w:szCs w:val="18"/>
      </w:rPr>
      <w:t>,</w:t>
    </w:r>
    <w:r w:rsidRPr="00481558">
      <w:rPr>
        <w:sz w:val="18"/>
        <w:szCs w:val="18"/>
      </w:rPr>
      <w:t xml:space="preserve"> Parc Ch</w:t>
    </w:r>
    <w:r>
      <w:rPr>
        <w:sz w:val="18"/>
        <w:szCs w:val="18"/>
      </w:rPr>
      <w:t>â</w:t>
    </w:r>
    <w:r w:rsidRPr="00481558">
      <w:rPr>
        <w:sz w:val="18"/>
        <w:szCs w:val="18"/>
      </w:rPr>
      <w:t>te</w:t>
    </w:r>
    <w:r>
      <w:rPr>
        <w:sz w:val="18"/>
        <w:szCs w:val="18"/>
      </w:rPr>
      <w:t>a</w:t>
    </w:r>
    <w:r w:rsidRPr="00481558">
      <w:rPr>
        <w:sz w:val="18"/>
        <w:szCs w:val="18"/>
      </w:rPr>
      <w:t>u</w:t>
    </w:r>
    <w:r>
      <w:rPr>
        <w:sz w:val="18"/>
        <w:szCs w:val="18"/>
      </w:rPr>
      <w:t xml:space="preserve"> -</w:t>
    </w:r>
    <w:r w:rsidRPr="00481558">
      <w:rPr>
        <w:sz w:val="18"/>
        <w:szCs w:val="18"/>
      </w:rPr>
      <w:t xml:space="preserve"> Banquet –</w:t>
    </w:r>
    <w:r>
      <w:rPr>
        <w:sz w:val="18"/>
        <w:szCs w:val="18"/>
      </w:rPr>
      <w:t xml:space="preserve"> CH-</w:t>
    </w:r>
    <w:r w:rsidRPr="00481558">
      <w:rPr>
        <w:sz w:val="18"/>
        <w:szCs w:val="18"/>
      </w:rPr>
      <w:t>12</w:t>
    </w:r>
    <w:r>
      <w:rPr>
        <w:sz w:val="18"/>
        <w:szCs w:val="18"/>
      </w:rPr>
      <w:t>02</w:t>
    </w:r>
    <w:r w:rsidRPr="00481558">
      <w:rPr>
        <w:sz w:val="18"/>
        <w:szCs w:val="18"/>
      </w:rPr>
      <w:t xml:space="preserve"> Geneva – Switzerland</w:t>
    </w:r>
  </w:p>
  <w:p w14:paraId="742CE704" w14:textId="77777777" w:rsidR="00A771DB" w:rsidRPr="00481558" w:rsidRDefault="001E3D64" w:rsidP="00481558">
    <w:pPr>
      <w:pStyle w:val="Header"/>
      <w:jc w:val="center"/>
      <w:rPr>
        <w:sz w:val="18"/>
        <w:szCs w:val="18"/>
      </w:rPr>
    </w:pPr>
    <w:r w:rsidRPr="00481558">
      <w:rPr>
        <w:sz w:val="18"/>
        <w:szCs w:val="18"/>
      </w:rPr>
      <w:t>Tel. (0041)22 901 05 80 – Fax (0041) 22 738 11 20 – E-mail:  malta-un.geneva@gov.mt</w:t>
    </w:r>
  </w:p>
  <w:p w14:paraId="79A772E5" w14:textId="77777777" w:rsidR="00A771DB" w:rsidRDefault="00650DF9" w:rsidP="0048155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5B6B3" w14:textId="77777777" w:rsidR="00712AB9" w:rsidRDefault="00712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27CAF" w14:textId="77777777" w:rsidR="00921770" w:rsidRDefault="00921770">
      <w:r>
        <w:separator/>
      </w:r>
    </w:p>
  </w:footnote>
  <w:footnote w:type="continuationSeparator" w:id="0">
    <w:p w14:paraId="67A393BE" w14:textId="77777777" w:rsidR="00921770" w:rsidRDefault="00921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34A68" w14:textId="77777777" w:rsidR="00712AB9" w:rsidRDefault="00712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1" w:type="dxa"/>
      <w:tblInd w:w="-432" w:type="dxa"/>
      <w:tblLayout w:type="fixed"/>
      <w:tblLook w:val="0000" w:firstRow="0" w:lastRow="0" w:firstColumn="0" w:lastColumn="0" w:noHBand="0" w:noVBand="0"/>
    </w:tblPr>
    <w:tblGrid>
      <w:gridCol w:w="3927"/>
      <w:gridCol w:w="1773"/>
      <w:gridCol w:w="3671"/>
    </w:tblGrid>
    <w:tr w:rsidR="00C73AD1" w:rsidRPr="00B01582" w14:paraId="667E93DE" w14:textId="77777777" w:rsidTr="003F11F3">
      <w:trPr>
        <w:trHeight w:val="1895"/>
      </w:trPr>
      <w:tc>
        <w:tcPr>
          <w:tcW w:w="3927" w:type="dxa"/>
        </w:tcPr>
        <w:p w14:paraId="36415716" w14:textId="77777777" w:rsidR="00C73AD1" w:rsidRPr="0065420F" w:rsidRDefault="00C73AD1" w:rsidP="00C73AD1">
          <w:pPr>
            <w:pStyle w:val="Header"/>
            <w:rPr>
              <w:sz w:val="18"/>
              <w:szCs w:val="18"/>
              <w:lang w:val="fr-FR"/>
            </w:rPr>
          </w:pPr>
          <w:r w:rsidRPr="0065420F">
            <w:rPr>
              <w:sz w:val="18"/>
              <w:szCs w:val="18"/>
              <w:lang w:val="fr-FR"/>
            </w:rPr>
            <w:t xml:space="preserve">  </w:t>
          </w:r>
        </w:p>
        <w:p w14:paraId="03B6A5C9" w14:textId="77777777" w:rsidR="00C73AD1" w:rsidRPr="0065420F" w:rsidRDefault="00C73AD1" w:rsidP="00C73AD1">
          <w:pPr>
            <w:pStyle w:val="Header"/>
            <w:rPr>
              <w:sz w:val="18"/>
              <w:szCs w:val="18"/>
              <w:lang w:val="fr-FR"/>
            </w:rPr>
          </w:pPr>
        </w:p>
        <w:p w14:paraId="1102CBBE" w14:textId="77777777" w:rsidR="00C73AD1" w:rsidRPr="0065420F" w:rsidRDefault="00C73AD1" w:rsidP="00C73AD1">
          <w:pPr>
            <w:pStyle w:val="Header"/>
            <w:rPr>
              <w:sz w:val="18"/>
              <w:szCs w:val="18"/>
              <w:lang w:val="fr-FR"/>
            </w:rPr>
          </w:pPr>
        </w:p>
        <w:p w14:paraId="334EE295" w14:textId="77777777" w:rsidR="00C73AD1" w:rsidRDefault="00C73AD1" w:rsidP="00C73AD1">
          <w:pPr>
            <w:pStyle w:val="Header"/>
            <w:jc w:val="center"/>
            <w:rPr>
              <w:lang w:val="fr-FR"/>
            </w:rPr>
          </w:pPr>
          <w:r w:rsidRPr="0065420F">
            <w:rPr>
              <w:lang w:val="fr-FR"/>
            </w:rPr>
            <w:t>MISSJONI PERMANENTI TAR-REPU</w:t>
          </w:r>
          <w:r>
            <w:rPr>
              <w:lang w:val="fr-FR"/>
            </w:rPr>
            <w:t>B</w:t>
          </w:r>
          <w:r w:rsidRPr="0065420F">
            <w:rPr>
              <w:lang w:val="fr-FR"/>
            </w:rPr>
            <w:t>BLIKA TA’ MALTA</w:t>
          </w:r>
        </w:p>
        <w:p w14:paraId="74574E8F" w14:textId="77777777" w:rsidR="00C73AD1" w:rsidRPr="0057131A" w:rsidRDefault="00C73AD1" w:rsidP="00C73AD1">
          <w:pPr>
            <w:pStyle w:val="Header"/>
            <w:jc w:val="center"/>
          </w:pPr>
          <w:r>
            <w:rPr>
              <w:lang w:val="fr-FR"/>
            </w:rPr>
            <w:t>F’</w:t>
          </w:r>
          <w:r w:rsidRPr="0057131A">
            <w:rPr>
              <w:lang w:val="fr-FR"/>
            </w:rPr>
            <w:t>Ġ</w:t>
          </w:r>
          <w:r>
            <w:rPr>
              <w:lang w:val="fr-FR"/>
            </w:rPr>
            <w:t>INEVRA</w:t>
          </w:r>
        </w:p>
      </w:tc>
      <w:tc>
        <w:tcPr>
          <w:tcW w:w="1773" w:type="dxa"/>
        </w:tcPr>
        <w:p w14:paraId="546DBB62" w14:textId="77777777" w:rsidR="00C73AD1" w:rsidRPr="0038492A" w:rsidRDefault="00C73AD1" w:rsidP="00C73AD1">
          <w:pPr>
            <w:pStyle w:val="Header"/>
            <w:rPr>
              <w:sz w:val="18"/>
              <w:szCs w:val="18"/>
            </w:rPr>
          </w:pPr>
          <w:r>
            <w:rPr>
              <w:noProof/>
              <w:sz w:val="18"/>
              <w:szCs w:val="18"/>
            </w:rPr>
            <w:drawing>
              <wp:inline distT="0" distB="0" distL="0" distR="0" wp14:anchorId="7113C657" wp14:editId="1EACEBE6">
                <wp:extent cx="9429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10BA8D20" w14:textId="77777777" w:rsidR="00C73AD1" w:rsidRPr="0038492A" w:rsidRDefault="00C73AD1" w:rsidP="00C73AD1">
          <w:pPr>
            <w:pStyle w:val="Header"/>
            <w:rPr>
              <w:sz w:val="18"/>
              <w:szCs w:val="18"/>
            </w:rPr>
          </w:pPr>
        </w:p>
        <w:p w14:paraId="5FC4B507" w14:textId="77777777" w:rsidR="00C73AD1" w:rsidRPr="0038492A" w:rsidRDefault="00C73AD1" w:rsidP="00C73AD1">
          <w:pPr>
            <w:pStyle w:val="Header"/>
            <w:rPr>
              <w:sz w:val="18"/>
              <w:szCs w:val="18"/>
            </w:rPr>
          </w:pPr>
        </w:p>
        <w:p w14:paraId="1861B46C" w14:textId="77777777" w:rsidR="00C73AD1" w:rsidRDefault="00C73AD1" w:rsidP="00C73AD1">
          <w:pPr>
            <w:pStyle w:val="Header"/>
            <w:rPr>
              <w:sz w:val="18"/>
              <w:szCs w:val="18"/>
            </w:rPr>
          </w:pPr>
        </w:p>
        <w:p w14:paraId="775355C5" w14:textId="77777777" w:rsidR="00C73AD1" w:rsidRDefault="00C73AD1" w:rsidP="00C73AD1">
          <w:pPr>
            <w:pStyle w:val="Header"/>
            <w:jc w:val="center"/>
          </w:pPr>
          <w:r w:rsidRPr="0038492A">
            <w:t>PERMANENT MISSION OF</w:t>
          </w:r>
          <w:r>
            <w:t xml:space="preserve"> THE   REPUBLIC OF</w:t>
          </w:r>
          <w:r w:rsidRPr="0038492A">
            <w:t xml:space="preserve"> MALTA</w:t>
          </w:r>
        </w:p>
        <w:p w14:paraId="530E4BCB" w14:textId="77777777" w:rsidR="00C73AD1" w:rsidRPr="0038492A" w:rsidRDefault="00C73AD1" w:rsidP="00C73AD1">
          <w:pPr>
            <w:pStyle w:val="Header"/>
            <w:jc w:val="center"/>
          </w:pPr>
          <w:r>
            <w:t>IN GENEVA</w:t>
          </w:r>
        </w:p>
      </w:tc>
    </w:tr>
  </w:tbl>
  <w:p w14:paraId="20FBA5C9" w14:textId="77777777" w:rsidR="00C73AD1" w:rsidRDefault="00C73AD1" w:rsidP="00C73AD1">
    <w:pPr>
      <w:pStyle w:val="Header"/>
    </w:pPr>
  </w:p>
  <w:p w14:paraId="2490E55A" w14:textId="77777777" w:rsidR="00A771DB" w:rsidRPr="00C73AD1" w:rsidRDefault="00650DF9" w:rsidP="00C73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F8EB" w14:textId="77777777" w:rsidR="00712AB9" w:rsidRDefault="00712A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CH" w:vendorID="64" w:dllVersion="0" w:nlCheck="1" w:checkStyle="0"/>
  <w:activeWritingStyle w:appName="MSWord" w:lang="en-GB" w:vendorID="64" w:dllVersion="0"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64"/>
    <w:rsid w:val="00034C93"/>
    <w:rsid w:val="00052640"/>
    <w:rsid w:val="000639BF"/>
    <w:rsid w:val="000727B8"/>
    <w:rsid w:val="000B75C2"/>
    <w:rsid w:val="000C1427"/>
    <w:rsid w:val="000D5E0B"/>
    <w:rsid w:val="00166880"/>
    <w:rsid w:val="001B052F"/>
    <w:rsid w:val="001C22E6"/>
    <w:rsid w:val="001E3D64"/>
    <w:rsid w:val="002B21C6"/>
    <w:rsid w:val="002E15D6"/>
    <w:rsid w:val="002F1E9D"/>
    <w:rsid w:val="0032368E"/>
    <w:rsid w:val="003574DA"/>
    <w:rsid w:val="00365AC4"/>
    <w:rsid w:val="003B1007"/>
    <w:rsid w:val="003C4313"/>
    <w:rsid w:val="003D2FC1"/>
    <w:rsid w:val="00433228"/>
    <w:rsid w:val="00442EB3"/>
    <w:rsid w:val="004A1F5B"/>
    <w:rsid w:val="00502C52"/>
    <w:rsid w:val="00505395"/>
    <w:rsid w:val="00565613"/>
    <w:rsid w:val="005844B7"/>
    <w:rsid w:val="005D65E5"/>
    <w:rsid w:val="005E25EF"/>
    <w:rsid w:val="005F2EE5"/>
    <w:rsid w:val="006009BE"/>
    <w:rsid w:val="006059FA"/>
    <w:rsid w:val="00613749"/>
    <w:rsid w:val="00613DA9"/>
    <w:rsid w:val="00650DF9"/>
    <w:rsid w:val="00657E1F"/>
    <w:rsid w:val="00687C3B"/>
    <w:rsid w:val="00696795"/>
    <w:rsid w:val="006A116D"/>
    <w:rsid w:val="00712AB9"/>
    <w:rsid w:val="00715702"/>
    <w:rsid w:val="007241C7"/>
    <w:rsid w:val="00740090"/>
    <w:rsid w:val="007A1199"/>
    <w:rsid w:val="007B11C5"/>
    <w:rsid w:val="008E4CC8"/>
    <w:rsid w:val="009155D0"/>
    <w:rsid w:val="00921770"/>
    <w:rsid w:val="00925C78"/>
    <w:rsid w:val="00933C34"/>
    <w:rsid w:val="00940630"/>
    <w:rsid w:val="009C3194"/>
    <w:rsid w:val="009E6B5D"/>
    <w:rsid w:val="00A90DF3"/>
    <w:rsid w:val="00AA25EE"/>
    <w:rsid w:val="00AC2842"/>
    <w:rsid w:val="00AE5CC6"/>
    <w:rsid w:val="00B004CF"/>
    <w:rsid w:val="00B23410"/>
    <w:rsid w:val="00B51E0C"/>
    <w:rsid w:val="00B559E3"/>
    <w:rsid w:val="00B61E14"/>
    <w:rsid w:val="00BF42F0"/>
    <w:rsid w:val="00BF6710"/>
    <w:rsid w:val="00C73AD1"/>
    <w:rsid w:val="00C74F34"/>
    <w:rsid w:val="00D37614"/>
    <w:rsid w:val="00D42F5B"/>
    <w:rsid w:val="00D676A4"/>
    <w:rsid w:val="00DD1D57"/>
    <w:rsid w:val="00E13C0F"/>
    <w:rsid w:val="00E1565C"/>
    <w:rsid w:val="00E2453C"/>
    <w:rsid w:val="00E439E6"/>
    <w:rsid w:val="00E74644"/>
    <w:rsid w:val="00E74F92"/>
    <w:rsid w:val="00EC3E7E"/>
    <w:rsid w:val="00EF4DEC"/>
    <w:rsid w:val="00F219B0"/>
    <w:rsid w:val="00F748FD"/>
    <w:rsid w:val="00FA3F61"/>
    <w:rsid w:val="00FE2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6F53B"/>
  <w15:chartTrackingRefBased/>
  <w15:docId w15:val="{ABFF4AC4-2C7A-4585-AB1D-B30FEB8C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3D64"/>
    <w:pPr>
      <w:tabs>
        <w:tab w:val="center" w:pos="4320"/>
        <w:tab w:val="right" w:pos="8640"/>
      </w:tabs>
    </w:pPr>
    <w:rPr>
      <w:sz w:val="20"/>
      <w:szCs w:val="20"/>
    </w:rPr>
  </w:style>
  <w:style w:type="character" w:customStyle="1" w:styleId="HeaderChar">
    <w:name w:val="Header Char"/>
    <w:basedOn w:val="DefaultParagraphFont"/>
    <w:link w:val="Header"/>
    <w:rsid w:val="001E3D64"/>
    <w:rPr>
      <w:rFonts w:ascii="Times New Roman" w:eastAsia="Times New Roman" w:hAnsi="Times New Roman" w:cs="Times New Roman"/>
      <w:sz w:val="20"/>
      <w:szCs w:val="20"/>
      <w:lang w:val="en-US"/>
    </w:rPr>
  </w:style>
  <w:style w:type="paragraph" w:styleId="Footer">
    <w:name w:val="footer"/>
    <w:basedOn w:val="Normal"/>
    <w:link w:val="FooterChar"/>
    <w:rsid w:val="001E3D64"/>
    <w:pPr>
      <w:tabs>
        <w:tab w:val="center" w:pos="4320"/>
        <w:tab w:val="right" w:pos="8640"/>
      </w:tabs>
    </w:pPr>
  </w:style>
  <w:style w:type="character" w:customStyle="1" w:styleId="FooterChar">
    <w:name w:val="Footer Char"/>
    <w:basedOn w:val="DefaultParagraphFont"/>
    <w:link w:val="Footer"/>
    <w:rsid w:val="001E3D6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A3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F61"/>
    <w:rPr>
      <w:rFonts w:ascii="Segoe UI" w:eastAsia="Times New Roman" w:hAnsi="Segoe UI" w:cs="Segoe UI"/>
      <w:sz w:val="18"/>
      <w:szCs w:val="18"/>
      <w:lang w:val="en-US"/>
    </w:rPr>
  </w:style>
  <w:style w:type="paragraph" w:customStyle="1" w:styleId="paragraph">
    <w:name w:val="paragraph"/>
    <w:basedOn w:val="Normal"/>
    <w:rsid w:val="00650DF9"/>
    <w:pPr>
      <w:spacing w:before="100" w:beforeAutospacing="1" w:after="100" w:afterAutospacing="1"/>
    </w:pPr>
    <w:rPr>
      <w:lang w:val="en-GB" w:eastAsia="en-GB"/>
    </w:rPr>
  </w:style>
  <w:style w:type="character" w:customStyle="1" w:styleId="normaltextrun">
    <w:name w:val="normaltextrun"/>
    <w:basedOn w:val="DefaultParagraphFont"/>
    <w:rsid w:val="00650DF9"/>
  </w:style>
  <w:style w:type="paragraph" w:customStyle="1" w:styleId="Default">
    <w:name w:val="Default"/>
    <w:rsid w:val="00650D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DAFD92BDF5A489D5266585E6FE0F1" ma:contentTypeVersion="14" ma:contentTypeDescription="Create a new document." ma:contentTypeScope="" ma:versionID="bc29deaba5651ad61d246e02532afde0">
  <xsd:schema xmlns:xsd="http://www.w3.org/2001/XMLSchema" xmlns:xs="http://www.w3.org/2001/XMLSchema" xmlns:p="http://schemas.microsoft.com/office/2006/metadata/properties" xmlns:ns2="129642f6-c076-4d70-b65b-e236dd81d611" xmlns:ns3="7f5529e0-4e5a-4f9f-a5d2-f041a58248ab" targetNamespace="http://schemas.microsoft.com/office/2006/metadata/properties" ma:root="true" ma:fieldsID="69b03b9b5c788966155c97036482e021" ns2:_="" ns3:_="">
    <xsd:import namespace="129642f6-c076-4d70-b65b-e236dd81d611"/>
    <xsd:import namespace="7f5529e0-4e5a-4f9f-a5d2-f041a5824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sqt"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642f6-c076-4d70-b65b-e236dd81d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sqt" ma:index="13" nillable="true" ma:displayName="Person or Group" ma:list="UserInfo" ma:internalName="msq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5529e0-4e5a-4f9f-a5d2-f041a58248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sqt xmlns="129642f6-c076-4d70-b65b-e236dd81d611">
      <UserInfo>
        <DisplayName/>
        <AccountId xsi:nil="true"/>
        <AccountType/>
      </UserInfo>
    </msqt>
  </documentManagement>
</p:properties>
</file>

<file path=customXml/itemProps1.xml><?xml version="1.0" encoding="utf-8"?>
<ds:datastoreItem xmlns:ds="http://schemas.openxmlformats.org/officeDocument/2006/customXml" ds:itemID="{FB8EF96E-624A-4A67-836D-66A71C8098FB}"/>
</file>

<file path=customXml/itemProps2.xml><?xml version="1.0" encoding="utf-8"?>
<ds:datastoreItem xmlns:ds="http://schemas.openxmlformats.org/officeDocument/2006/customXml" ds:itemID="{8271ACAF-DDAC-444B-828A-D176181B1733}"/>
</file>

<file path=customXml/itemProps3.xml><?xml version="1.0" encoding="utf-8"?>
<ds:datastoreItem xmlns:ds="http://schemas.openxmlformats.org/officeDocument/2006/customXml" ds:itemID="{30923196-C695-4871-B689-86713EFA150A}"/>
</file>

<file path=docProps/app.xml><?xml version="1.0" encoding="utf-8"?>
<Properties xmlns="http://schemas.openxmlformats.org/officeDocument/2006/extended-properties" xmlns:vt="http://schemas.openxmlformats.org/officeDocument/2006/docPropsVTypes">
  <Template>Normal</Template>
  <TotalTime>7</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MITA</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Baldacchino Michelle at MFEA Geneva</cp:lastModifiedBy>
  <cp:revision>2</cp:revision>
  <cp:lastPrinted>2021-08-03T07:50:00Z</cp:lastPrinted>
  <dcterms:created xsi:type="dcterms:W3CDTF">2021-08-03T09:05:00Z</dcterms:created>
  <dcterms:modified xsi:type="dcterms:W3CDTF">2021-08-03T09:05:00Z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0x01010038BDAFD92BDF5A489D5266585E6FE0F1</vt:lpwstr>
  </property>
</Properties>
</file>